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3A" w:rsidRDefault="00EB360E" w:rsidP="00D86F3A">
      <w:pPr>
        <w:pStyle w:val="Title"/>
      </w:pPr>
      <w:bookmarkStart w:id="0" w:name="_GoBack"/>
      <w:bookmarkEnd w:id="0"/>
      <w:r>
        <w:t xml:space="preserve">Quick Reference Guide </w:t>
      </w:r>
      <w:r w:rsidR="00DD4082">
        <w:t>–</w:t>
      </w:r>
      <w:r>
        <w:t xml:space="preserve"> </w:t>
      </w:r>
      <w:r w:rsidR="00BF49FB">
        <w:t>Cognos</w:t>
      </w:r>
      <w:r w:rsidR="00320E09">
        <w:t xml:space="preserve"> Access for SM</w:t>
      </w:r>
    </w:p>
    <w:p w:rsidR="00320E09" w:rsidRDefault="00C30C0D" w:rsidP="00C61F27">
      <w:r>
        <w:t xml:space="preserve">Cognos </w:t>
      </w:r>
      <w:r w:rsidR="00002190">
        <w:t>10</w:t>
      </w:r>
      <w:r>
        <w:t xml:space="preserve"> is t</w:t>
      </w:r>
      <w:r w:rsidR="00C61F27">
        <w:t xml:space="preserve">he official reporting tool for Construction and Materials. </w:t>
      </w:r>
      <w:r w:rsidR="00320E09">
        <w:t xml:space="preserve"> There are two authoring tools in </w:t>
      </w:r>
      <w:r>
        <w:t xml:space="preserve">Cognos </w:t>
      </w:r>
      <w:r w:rsidR="00002190">
        <w:t>10</w:t>
      </w:r>
      <w:r w:rsidR="0002357F">
        <w:t>.  Author access may be limited by an allotted number of licenses.</w:t>
      </w:r>
    </w:p>
    <w:p w:rsidR="00A81DA3" w:rsidRDefault="00320E09" w:rsidP="00C61F27">
      <w:r>
        <w:rPr>
          <w:b/>
          <w:bCs/>
          <w:i/>
          <w:iCs/>
        </w:rPr>
        <w:t>Query</w:t>
      </w:r>
      <w:r w:rsidR="00C61F27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Studio</w:t>
      </w:r>
      <w:r w:rsidR="00C61F27">
        <w:rPr>
          <w:i/>
          <w:iCs/>
        </w:rPr>
        <w:t xml:space="preserve"> </w:t>
      </w:r>
      <w:r w:rsidR="00C61F27" w:rsidRPr="00C61F27">
        <w:rPr>
          <w:iCs/>
        </w:rPr>
        <w:t>is</w:t>
      </w:r>
      <w:r w:rsidR="00C61F27">
        <w:rPr>
          <w:i/>
          <w:iCs/>
        </w:rPr>
        <w:t xml:space="preserve"> </w:t>
      </w:r>
      <w:r>
        <w:t xml:space="preserve">an easy to use basic authoring tool for simple queries.   </w:t>
      </w:r>
      <w:r w:rsidR="00002190" w:rsidRPr="00C61F27">
        <w:rPr>
          <w:b/>
          <w:i/>
        </w:rPr>
        <w:t>Report</w:t>
      </w:r>
      <w:r w:rsidR="00002190">
        <w:rPr>
          <w:b/>
          <w:i/>
        </w:rPr>
        <w:t xml:space="preserve"> </w:t>
      </w:r>
      <w:r w:rsidR="00002190" w:rsidRPr="00C61F27">
        <w:rPr>
          <w:b/>
          <w:i/>
        </w:rPr>
        <w:t>Studio</w:t>
      </w:r>
      <w:r w:rsidR="00002190">
        <w:rPr>
          <w:b/>
          <w:bCs/>
        </w:rPr>
        <w:t xml:space="preserve"> </w:t>
      </w:r>
      <w:r w:rsidR="00002190">
        <w:t xml:space="preserve">is a more complex authoring tool for creating and customizing professional reports. </w:t>
      </w:r>
      <w:r w:rsidR="00A81DA3">
        <w:t>To gain</w:t>
      </w:r>
      <w:r>
        <w:t xml:space="preserve"> access to Query Studio</w:t>
      </w:r>
      <w:r w:rsidR="00002190">
        <w:t>/</w:t>
      </w:r>
      <w:r w:rsidR="00002190" w:rsidRPr="00002190">
        <w:t xml:space="preserve"> </w:t>
      </w:r>
      <w:r w:rsidR="00002190">
        <w:t>Report Studio</w:t>
      </w:r>
      <w:r w:rsidR="00A81DA3">
        <w:t>, users</w:t>
      </w:r>
      <w:r>
        <w:t xml:space="preserve"> </w:t>
      </w:r>
      <w:r w:rsidR="00C61F27">
        <w:t>must complete the</w:t>
      </w:r>
      <w:r w:rsidR="00A81DA3">
        <w:t xml:space="preserve"> </w:t>
      </w:r>
      <w:r w:rsidR="00002190">
        <w:t xml:space="preserve">required </w:t>
      </w:r>
      <w:r w:rsidR="00A81DA3">
        <w:t>Learning Management System (LMS)</w:t>
      </w:r>
      <w:r w:rsidR="00C61F27">
        <w:t xml:space="preserve"> </w:t>
      </w:r>
      <w:r w:rsidR="00A81DA3">
        <w:t>c</w:t>
      </w:r>
      <w:r w:rsidR="00A81DA3" w:rsidRPr="00A81DA3">
        <w:t>ourse</w:t>
      </w:r>
      <w:r w:rsidR="00002190">
        <w:t>s.</w:t>
      </w:r>
    </w:p>
    <w:p w:rsidR="00320E09" w:rsidRDefault="00320E09" w:rsidP="006318AF">
      <w:pPr>
        <w:pStyle w:val="Heading1"/>
      </w:pPr>
      <w:r>
        <w:t xml:space="preserve">How to navigate and run reports in </w:t>
      </w:r>
      <w:r w:rsidR="00C30C0D">
        <w:t xml:space="preserve">Cognos </w:t>
      </w:r>
      <w:r w:rsidR="00002190">
        <w:t>10</w:t>
      </w:r>
      <w:r>
        <w:t xml:space="preserve">: </w:t>
      </w:r>
    </w:p>
    <w:p w:rsidR="00320E09" w:rsidRDefault="00320E09" w:rsidP="006318AF">
      <w:r>
        <w:rPr>
          <w:u w:val="single"/>
        </w:rPr>
        <w:t>Cognos Connection</w:t>
      </w:r>
      <w:r>
        <w:t xml:space="preserve"> is the web portal for accessing </w:t>
      </w:r>
      <w:r w:rsidR="006318AF">
        <w:t xml:space="preserve">Cognos </w:t>
      </w:r>
      <w:r w:rsidR="00002190">
        <w:t>10</w:t>
      </w:r>
      <w:r>
        <w:t xml:space="preserve"> reports and is located </w:t>
      </w:r>
      <w:r w:rsidR="00C30C0D">
        <w:t>on the MoDOT intranet site.</w:t>
      </w:r>
      <w:r>
        <w:t xml:space="preserve">  </w:t>
      </w:r>
      <w:r w:rsidR="00C30C0D">
        <w:t xml:space="preserve">Follow these steps to </w:t>
      </w:r>
      <w:r>
        <w:t xml:space="preserve">access </w:t>
      </w:r>
      <w:r w:rsidR="00C30C0D">
        <w:t xml:space="preserve">the </w:t>
      </w:r>
      <w:r>
        <w:t>Cognos Connection from</w:t>
      </w:r>
      <w:r w:rsidR="00C30C0D">
        <w:t xml:space="preserve"> the intranet</w:t>
      </w:r>
      <w:r>
        <w:t xml:space="preserve">: </w:t>
      </w:r>
    </w:p>
    <w:p w:rsidR="006318AF" w:rsidRDefault="00320E09" w:rsidP="006318AF">
      <w:pPr>
        <w:pStyle w:val="ListParagraph"/>
      </w:pPr>
      <w:r>
        <w:t xml:space="preserve">Under Quick Links on the left side of the page, click the </w:t>
      </w:r>
      <w:r w:rsidR="00FF053F">
        <w:t>“Official MoDOT Reporting</w:t>
      </w:r>
      <w:r w:rsidR="006318AF">
        <w:t>”</w:t>
      </w:r>
      <w:r w:rsidR="00FF053F" w:rsidRPr="00FF053F">
        <w:t xml:space="preserve"> </w:t>
      </w:r>
      <w:r w:rsidR="00FF053F">
        <w:t>link.</w:t>
      </w:r>
      <w:r w:rsidR="00C30C0D">
        <w:br/>
      </w:r>
      <w:r w:rsidR="00FA30BB">
        <w:rPr>
          <w:noProof/>
        </w:rPr>
        <w:drawing>
          <wp:inline distT="0" distB="0" distL="0" distR="0" wp14:anchorId="1AA329D5" wp14:editId="0FD85E80">
            <wp:extent cx="4777408" cy="2822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127" cy="28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09" w:rsidRDefault="00320E09" w:rsidP="00320E0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D5465" w:rsidRDefault="00320E09" w:rsidP="001D5465">
      <w:pPr>
        <w:pStyle w:val="ListParagraph"/>
      </w:pPr>
      <w:r>
        <w:t>Click the Cognos Connection</w:t>
      </w:r>
      <w:r w:rsidR="00FF053F">
        <w:t xml:space="preserve"> (Cognos </w:t>
      </w:r>
      <w:r w:rsidR="00B72297">
        <w:t>10</w:t>
      </w:r>
      <w:r w:rsidR="00FF053F">
        <w:t>) link.</w:t>
      </w:r>
      <w:r w:rsidR="00FF053F">
        <w:br/>
      </w:r>
      <w:r w:rsidR="00FA30BB">
        <w:rPr>
          <w:noProof/>
        </w:rPr>
        <w:drawing>
          <wp:inline distT="0" distB="0" distL="0" distR="0" wp14:anchorId="11508C49" wp14:editId="5AA3AB09">
            <wp:extent cx="4777408" cy="1420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76" cy="142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465">
        <w:br/>
      </w:r>
    </w:p>
    <w:p w:rsidR="001D5465" w:rsidRPr="001D5465" w:rsidRDefault="009B1A15" w:rsidP="001D5465">
      <w:pPr>
        <w:pStyle w:val="ListParagraph"/>
      </w:pPr>
      <w:r>
        <w:lastRenderedPageBreak/>
        <w:t>Log in</w:t>
      </w:r>
      <w:r w:rsidR="00FA30BB">
        <w:t xml:space="preserve"> to Cognos 10</w:t>
      </w:r>
      <w:r w:rsidR="007777F5">
        <w:t>.</w:t>
      </w:r>
      <w:r w:rsidR="007777F5">
        <w:br/>
      </w:r>
      <w:r w:rsidR="00FA30BB">
        <w:rPr>
          <w:noProof/>
        </w:rPr>
        <w:drawing>
          <wp:inline distT="0" distB="0" distL="0" distR="0" wp14:anchorId="75FA8DAB" wp14:editId="320DEDFC">
            <wp:extent cx="4300330" cy="32224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2650" cy="32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465">
        <w:br/>
      </w:r>
    </w:p>
    <w:p w:rsidR="001D5465" w:rsidRDefault="007777F5" w:rsidP="001D5465">
      <w:pPr>
        <w:ind w:left="720" w:hanging="720"/>
      </w:pPr>
      <w:r w:rsidRPr="00FF053F">
        <w:rPr>
          <w:b/>
        </w:rPr>
        <w:t>Note:</w:t>
      </w:r>
      <w:r>
        <w:tab/>
        <w:t xml:space="preserve">Passwords for Cognos </w:t>
      </w:r>
      <w:r w:rsidR="00140288">
        <w:t>10</w:t>
      </w:r>
      <w:r>
        <w:t xml:space="preserve"> can only be changed by contacting the IS Helpdesk at 573-751-5000.</w:t>
      </w:r>
    </w:p>
    <w:p w:rsidR="00320E09" w:rsidRDefault="009B1A15" w:rsidP="001D5465">
      <w:pPr>
        <w:pStyle w:val="ListParagraph"/>
      </w:pPr>
      <w:r>
        <w:t xml:space="preserve">For easier access to Cognos </w:t>
      </w:r>
      <w:r w:rsidR="00140288">
        <w:t>10</w:t>
      </w:r>
      <w:r>
        <w:t xml:space="preserve"> in the future, a shortcut to the desktop c</w:t>
      </w:r>
      <w:r w:rsidR="007777F5">
        <w:t xml:space="preserve">an be created </w:t>
      </w:r>
      <w:r w:rsidR="007777F5" w:rsidRPr="00B72297">
        <w:rPr>
          <w:u w:val="single"/>
        </w:rPr>
        <w:t>before</w:t>
      </w:r>
      <w:r w:rsidR="007777F5">
        <w:t xml:space="preserve"> logging on by right clicking the mouse on the web page.  Select “Create Shortcut” in the pop up box.</w:t>
      </w:r>
      <w:r>
        <w:br/>
      </w:r>
      <w:r w:rsidR="00FA30BB">
        <w:rPr>
          <w:noProof/>
        </w:rPr>
        <w:drawing>
          <wp:inline distT="0" distB="0" distL="0" distR="0" wp14:anchorId="4E82A776" wp14:editId="32913E6F">
            <wp:extent cx="4304008" cy="33660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3679" cy="33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65" w:rsidRDefault="001D5465" w:rsidP="001D5465">
      <w:pPr>
        <w:pStyle w:val="ListParagraph"/>
        <w:numPr>
          <w:ilvl w:val="0"/>
          <w:numId w:val="0"/>
        </w:numPr>
        <w:ind w:left="432"/>
      </w:pPr>
      <w:r>
        <w:br/>
      </w:r>
    </w:p>
    <w:p w:rsidR="001D5465" w:rsidRDefault="001D5465" w:rsidP="001D5465">
      <w:pPr>
        <w:ind w:left="432" w:hanging="432"/>
      </w:pPr>
    </w:p>
    <w:p w:rsidR="009B1A15" w:rsidRDefault="007777F5" w:rsidP="001D5465">
      <w:pPr>
        <w:pStyle w:val="ListParagraph"/>
      </w:pPr>
      <w:r>
        <w:lastRenderedPageBreak/>
        <w:t xml:space="preserve">Click “Yes” on the pop-up message box, and a shortcut to Cognos </w:t>
      </w:r>
      <w:r w:rsidR="00140288">
        <w:t>10</w:t>
      </w:r>
      <w:r>
        <w:t xml:space="preserve"> will be placed on your desktop.</w:t>
      </w:r>
      <w:r>
        <w:br/>
      </w:r>
      <w:r w:rsidR="00140288">
        <w:rPr>
          <w:noProof/>
        </w:rPr>
        <w:drawing>
          <wp:inline distT="0" distB="0" distL="0" distR="0" wp14:anchorId="22735CCA" wp14:editId="37F08863">
            <wp:extent cx="2674381" cy="16631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88" cy="16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465">
        <w:br/>
      </w:r>
    </w:p>
    <w:p w:rsidR="009B1A15" w:rsidRDefault="00E73380" w:rsidP="001D5465">
      <w:pPr>
        <w:pStyle w:val="ListParagraph"/>
      </w:pPr>
      <w:r>
        <w:t xml:space="preserve">Right click the </w:t>
      </w:r>
      <w:r w:rsidR="001D5465">
        <w:t xml:space="preserve">new </w:t>
      </w:r>
      <w:r>
        <w:t xml:space="preserve">icon </w:t>
      </w:r>
      <w:r w:rsidR="001D5465">
        <w:t>(“Log on”)</w:t>
      </w:r>
      <w:r w:rsidR="00140288">
        <w:t>,</w:t>
      </w:r>
      <w:r w:rsidR="001D5465">
        <w:t xml:space="preserve"> </w:t>
      </w:r>
      <w:r>
        <w:t>select “Rename</w:t>
      </w:r>
      <w:r w:rsidR="00140288">
        <w:t>,</w:t>
      </w:r>
      <w:r>
        <w:t>”</w:t>
      </w:r>
      <w:r w:rsidR="00140288">
        <w:t xml:space="preserve"> and name the icon “Cognos 10.”</w:t>
      </w:r>
      <w:r>
        <w:br/>
      </w:r>
      <w:r w:rsidR="007777F5">
        <w:rPr>
          <w:noProof/>
        </w:rPr>
        <w:drawing>
          <wp:inline distT="0" distB="0" distL="0" distR="0">
            <wp:extent cx="2007704" cy="171869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17" cy="17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88">
        <w:t xml:space="preserve">   </w:t>
      </w:r>
      <w:r w:rsidR="001D5465">
        <w:br/>
      </w:r>
    </w:p>
    <w:p w:rsidR="00320E09" w:rsidRDefault="00140288" w:rsidP="00E73380">
      <w:pPr>
        <w:pStyle w:val="ListParagraph"/>
      </w:pPr>
      <w:r>
        <w:t>After logging on, t</w:t>
      </w:r>
      <w:r w:rsidR="001D5465">
        <w:t xml:space="preserve">he Cognos </w:t>
      </w:r>
      <w:r>
        <w:t>10</w:t>
      </w:r>
      <w:r w:rsidR="001D5465">
        <w:t xml:space="preserve"> Welcome page will appear.  </w:t>
      </w:r>
      <w:r w:rsidR="00320E09">
        <w:t>From the</w:t>
      </w:r>
      <w:r w:rsidR="001D5465">
        <w:t xml:space="preserve"> Welcome Page</w:t>
      </w:r>
      <w:r w:rsidR="00E73380">
        <w:t>,</w:t>
      </w:r>
      <w:r w:rsidR="00320E09">
        <w:t xml:space="preserve"> select </w:t>
      </w:r>
      <w:r w:rsidR="0002357F">
        <w:t>“IBM Cognos c</w:t>
      </w:r>
      <w:r w:rsidR="00E73380">
        <w:t>ontent</w:t>
      </w:r>
      <w:r w:rsidR="00320E09">
        <w:t>.</w:t>
      </w:r>
      <w:r w:rsidR="0002357F">
        <w:t>”</w:t>
      </w:r>
      <w:r w:rsidR="00320E09">
        <w:t xml:space="preserve"> </w:t>
      </w:r>
      <w:r w:rsidR="00E73380">
        <w:br/>
      </w:r>
      <w:r>
        <w:rPr>
          <w:noProof/>
        </w:rPr>
        <w:drawing>
          <wp:inline distT="0" distB="0" distL="0" distR="0" wp14:anchorId="1A60FFC4" wp14:editId="4EA00230">
            <wp:extent cx="3796747" cy="14773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018" cy="14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465">
        <w:br/>
      </w:r>
    </w:p>
    <w:p w:rsidR="001D5465" w:rsidRDefault="0055759F" w:rsidP="00864735">
      <w:pPr>
        <w:ind w:left="720" w:hanging="720"/>
      </w:pPr>
      <w:r w:rsidRPr="001D5465">
        <w:rPr>
          <w:b/>
        </w:rPr>
        <w:t>Note:</w:t>
      </w:r>
      <w:r>
        <w:tab/>
        <w:t xml:space="preserve">Uncheck “Show this page in the future” if you do not </w:t>
      </w:r>
      <w:r w:rsidR="00451F0B">
        <w:t>want</w:t>
      </w:r>
      <w:r>
        <w:t xml:space="preserve"> </w:t>
      </w:r>
      <w:r w:rsidR="00B72297">
        <w:t xml:space="preserve">to see </w:t>
      </w:r>
      <w:r>
        <w:t xml:space="preserve">this page each time you log on to Cognos </w:t>
      </w:r>
      <w:r w:rsidR="00864735">
        <w:t>10</w:t>
      </w:r>
      <w:r>
        <w:t>.</w:t>
      </w:r>
      <w:r w:rsidR="00451F0B">
        <w:t xml:space="preserve">  </w:t>
      </w:r>
      <w:r w:rsidR="00864735">
        <w:t>T</w:t>
      </w:r>
      <w:r w:rsidR="00451F0B">
        <w:t xml:space="preserve">he Welcome Page </w:t>
      </w:r>
      <w:r w:rsidR="00864735">
        <w:t xml:space="preserve">can always be accessed </w:t>
      </w:r>
      <w:r w:rsidR="00451F0B">
        <w:t xml:space="preserve">by selecting the drop down </w:t>
      </w:r>
      <w:r w:rsidR="00864735">
        <w:t xml:space="preserve">Help </w:t>
      </w:r>
      <w:r w:rsidR="00451F0B">
        <w:t>arrow at the far right end of</w:t>
      </w:r>
      <w:r w:rsidR="00864735">
        <w:t xml:space="preserve"> the Cognos Connection tool bar</w:t>
      </w:r>
      <w:r w:rsidR="00451F0B">
        <w:t>.</w:t>
      </w:r>
      <w:r w:rsidR="00864735">
        <w:t xml:space="preserve"> </w:t>
      </w:r>
      <w:r w:rsidR="00864735">
        <w:br/>
      </w:r>
      <w:r w:rsidR="00864735">
        <w:rPr>
          <w:noProof/>
        </w:rPr>
        <w:drawing>
          <wp:inline distT="0" distB="0" distL="0" distR="0" wp14:anchorId="52C04A31" wp14:editId="35EB18F6">
            <wp:extent cx="3631332" cy="10270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81" cy="10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65" w:rsidRDefault="001D5465" w:rsidP="00E73380"/>
    <w:p w:rsidR="003D76B1" w:rsidRDefault="003D76B1" w:rsidP="003D76B1">
      <w:pPr>
        <w:pStyle w:val="ListParagraph"/>
      </w:pPr>
      <w:r>
        <w:lastRenderedPageBreak/>
        <w:t>From</w:t>
      </w:r>
      <w:r w:rsidR="00251B10">
        <w:t xml:space="preserve"> the</w:t>
      </w:r>
      <w:r w:rsidR="001D5465">
        <w:t xml:space="preserve"> Public Folders </w:t>
      </w:r>
      <w:r w:rsidR="00B72297">
        <w:t>tab</w:t>
      </w:r>
      <w:r>
        <w:t xml:space="preserve">, select </w:t>
      </w:r>
      <w:r w:rsidR="00B72297">
        <w:t>the “</w:t>
      </w:r>
      <w:r>
        <w:t>SiteManager Reporting</w:t>
      </w:r>
      <w:r w:rsidR="00B72297">
        <w:t>”</w:t>
      </w:r>
      <w:r>
        <w:t xml:space="preserve"> folder.</w:t>
      </w:r>
      <w:r>
        <w:br/>
      </w:r>
      <w:r>
        <w:rPr>
          <w:noProof/>
        </w:rPr>
        <w:drawing>
          <wp:inline distT="0" distB="0" distL="0" distR="0" wp14:anchorId="48BDAB54" wp14:editId="1616515A">
            <wp:extent cx="5191630" cy="147761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7739" cy="14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82893" w:rsidRDefault="00282893" w:rsidP="003D76B1">
      <w:pPr>
        <w:pStyle w:val="ListParagraph"/>
      </w:pPr>
      <w:r>
        <w:t>At this point, users may set their preferred view as Home Page, set personal preferences, and launch reporting tools as noted below.</w:t>
      </w:r>
      <w:r>
        <w:br/>
      </w:r>
      <w:r w:rsidR="005D141F">
        <w:rPr>
          <w:noProof/>
        </w:rPr>
        <w:drawing>
          <wp:inline distT="0" distB="0" distL="0" distR="0" wp14:anchorId="2B305773" wp14:editId="789798A3">
            <wp:extent cx="5192251" cy="119932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9586" cy="12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20E09" w:rsidRDefault="00320E09" w:rsidP="003D76B1">
      <w:pPr>
        <w:pStyle w:val="ListParagraph"/>
      </w:pPr>
      <w:r>
        <w:t xml:space="preserve">The </w:t>
      </w:r>
      <w:r w:rsidR="00251B10">
        <w:t xml:space="preserve">Cognos </w:t>
      </w:r>
      <w:r w:rsidR="003D76B1">
        <w:t>10</w:t>
      </w:r>
      <w:r>
        <w:t xml:space="preserve"> folder str</w:t>
      </w:r>
      <w:r w:rsidRPr="00302EB0">
        <w:t>u</w:t>
      </w:r>
      <w:r>
        <w:t xml:space="preserve">cture provides </w:t>
      </w:r>
      <w:r w:rsidR="00983AB4">
        <w:t>folders</w:t>
      </w:r>
      <w:r>
        <w:t xml:space="preserve"> for </w:t>
      </w:r>
      <w:r w:rsidR="00B72297">
        <w:t xml:space="preserve">FHWA, each </w:t>
      </w:r>
      <w:r w:rsidR="00983AB4">
        <w:t>district</w:t>
      </w:r>
      <w:r w:rsidR="00B72297">
        <w:t>,</w:t>
      </w:r>
      <w:r w:rsidR="00983AB4">
        <w:t xml:space="preserve"> </w:t>
      </w:r>
      <w:r>
        <w:t>a</w:t>
      </w:r>
      <w:r w:rsidR="00B72297">
        <w:t>nd</w:t>
      </w:r>
      <w:r>
        <w:t xml:space="preserve"> </w:t>
      </w:r>
      <w:r w:rsidR="003D76B1">
        <w:t>H</w:t>
      </w:r>
      <w:r>
        <w:t xml:space="preserve">eadquarters.  Select the </w:t>
      </w:r>
      <w:r w:rsidR="00251B10">
        <w:t xml:space="preserve">appropriate </w:t>
      </w:r>
      <w:r>
        <w:t>subfolder</w:t>
      </w:r>
      <w:r w:rsidR="00251B10">
        <w:t>.</w:t>
      </w:r>
      <w:r w:rsidR="00983AB4">
        <w:br/>
      </w:r>
      <w:r w:rsidR="003D76B1">
        <w:rPr>
          <w:noProof/>
        </w:rPr>
        <w:drawing>
          <wp:inline distT="0" distB="0" distL="0" distR="0" wp14:anchorId="0ED08AE8" wp14:editId="716DAA6D">
            <wp:extent cx="5194852" cy="270842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7436" cy="27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B10">
        <w:br/>
      </w:r>
    </w:p>
    <w:p w:rsidR="005D141F" w:rsidRDefault="005D141F" w:rsidP="00302EB0"/>
    <w:p w:rsidR="00320E09" w:rsidRDefault="00CD6B03" w:rsidP="005D141F">
      <w:pPr>
        <w:keepNext/>
      </w:pPr>
      <w:r>
        <w:lastRenderedPageBreak/>
        <w:t xml:space="preserve">When </w:t>
      </w:r>
      <w:r w:rsidR="00320E09">
        <w:t>navigat</w:t>
      </w:r>
      <w:r>
        <w:t>ing</w:t>
      </w:r>
      <w:r w:rsidR="00320E09">
        <w:t xml:space="preserve"> through the folder hierarchy, the path is displayed </w:t>
      </w:r>
      <w:r>
        <w:t>below</w:t>
      </w:r>
      <w:r w:rsidR="00320E09">
        <w:t xml:space="preserve"> the </w:t>
      </w:r>
      <w:r w:rsidR="005D141F">
        <w:t>Public Folders/My F</w:t>
      </w:r>
      <w:r w:rsidR="00320E09">
        <w:t>older</w:t>
      </w:r>
      <w:r w:rsidR="005D141F">
        <w:t>s</w:t>
      </w:r>
      <w:r w:rsidR="00320E09">
        <w:t xml:space="preserve"> tabs.  To move back up the hierarchy, selec</w:t>
      </w:r>
      <w:r w:rsidR="00B72297">
        <w:t>t the folder from this</w:t>
      </w:r>
      <w:r w:rsidR="00451F0B">
        <w:t xml:space="preserve"> path.  Using</w:t>
      </w:r>
      <w:r w:rsidR="00320E09">
        <w:t xml:space="preserve"> </w:t>
      </w:r>
      <w:r w:rsidR="00151E57">
        <w:t>the Internet Explorer</w:t>
      </w:r>
      <w:r w:rsidR="00320E09">
        <w:t xml:space="preserve"> BACK button </w:t>
      </w:r>
      <w:r w:rsidR="00151E57">
        <w:rPr>
          <w:noProof/>
        </w:rPr>
        <w:drawing>
          <wp:inline distT="0" distB="0" distL="0" distR="0">
            <wp:extent cx="225882" cy="212035"/>
            <wp:effectExtent l="19050" t="0" r="271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1" cy="2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57">
        <w:t xml:space="preserve"> </w:t>
      </w:r>
      <w:r w:rsidR="00451F0B">
        <w:t>may work, but does not always function as expected and should be avoided</w:t>
      </w:r>
      <w:r w:rsidR="00320E09">
        <w:t xml:space="preserve">.  It is </w:t>
      </w:r>
      <w:r w:rsidR="0002357F">
        <w:t>best</w:t>
      </w:r>
      <w:r w:rsidR="00320E09">
        <w:t xml:space="preserve"> to navigate using the links found within the </w:t>
      </w:r>
      <w:r w:rsidR="00151E57">
        <w:t>Cognos Connection</w:t>
      </w:r>
      <w:r w:rsidR="00320E09">
        <w:t xml:space="preserve">. </w:t>
      </w:r>
    </w:p>
    <w:p w:rsidR="00320E09" w:rsidRDefault="005D141F" w:rsidP="00151E57">
      <w:r>
        <w:rPr>
          <w:noProof/>
        </w:rPr>
        <w:drawing>
          <wp:inline distT="0" distB="0" distL="0" distR="0" wp14:anchorId="738A23FD" wp14:editId="59A47DC9">
            <wp:extent cx="5479774" cy="1424976"/>
            <wp:effectExtent l="0" t="0" r="698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850" cy="14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E0" w:rsidRDefault="001B75E0" w:rsidP="00151E57"/>
    <w:p w:rsidR="00320E09" w:rsidRDefault="00320E09" w:rsidP="00151E57">
      <w:r>
        <w:t xml:space="preserve">Click on </w:t>
      </w:r>
      <w:r w:rsidR="00B72297">
        <w:t>the</w:t>
      </w:r>
      <w:r>
        <w:t xml:space="preserve"> report title to run </w:t>
      </w:r>
      <w:r w:rsidR="00B72297">
        <w:t>a</w:t>
      </w:r>
      <w:r>
        <w:t xml:space="preserve"> report.  </w:t>
      </w:r>
      <w:r w:rsidR="00530C02">
        <w:t>If the report</w:t>
      </w:r>
      <w:r>
        <w:t xml:space="preserve"> require</w:t>
      </w:r>
      <w:r w:rsidR="00530C02">
        <w:t>s</w:t>
      </w:r>
      <w:r>
        <w:t xml:space="preserve"> </w:t>
      </w:r>
      <w:r w:rsidR="00041F07">
        <w:t>data</w:t>
      </w:r>
      <w:r>
        <w:t xml:space="preserve"> entry </w:t>
      </w:r>
      <w:r w:rsidR="00041F07">
        <w:t>to run correctly</w:t>
      </w:r>
      <w:r>
        <w:t xml:space="preserve">, a prompt page will display. </w:t>
      </w:r>
      <w:r w:rsidR="00530C02">
        <w:t xml:space="preserve"> </w:t>
      </w:r>
      <w:r w:rsidR="00151E57">
        <w:t>S</w:t>
      </w:r>
      <w:r>
        <w:t xml:space="preserve">ome prompts are </w:t>
      </w:r>
      <w:r w:rsidR="00151E57">
        <w:t xml:space="preserve">mandatory </w:t>
      </w:r>
      <w:r>
        <w:t>while others are</w:t>
      </w:r>
      <w:r w:rsidR="00151E57">
        <w:t xml:space="preserve"> optional</w:t>
      </w:r>
      <w:r>
        <w:t xml:space="preserve">.  </w:t>
      </w:r>
      <w:r w:rsidR="00530C02">
        <w:t>O</w:t>
      </w:r>
      <w:r>
        <w:t>n-screen instructions may provide direction</w:t>
      </w:r>
      <w:r w:rsidR="0002357F">
        <w:t>,</w:t>
      </w:r>
      <w:r>
        <w:t xml:space="preserve"> including information about which prompts are mandatory. </w:t>
      </w:r>
    </w:p>
    <w:p w:rsidR="00320E09" w:rsidRDefault="0024266B" w:rsidP="0024266B">
      <w:r>
        <w:rPr>
          <w:noProof/>
        </w:rPr>
        <w:drawing>
          <wp:inline distT="0" distB="0" distL="0" distR="0">
            <wp:extent cx="5459896" cy="3359872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66" cy="33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0" w:rsidRDefault="001B75E0" w:rsidP="0024266B"/>
    <w:p w:rsidR="00320E09" w:rsidRDefault="0024266B" w:rsidP="00B72297">
      <w:pPr>
        <w:keepNext/>
      </w:pPr>
      <w:r>
        <w:lastRenderedPageBreak/>
        <w:t>T</w:t>
      </w:r>
      <w:r w:rsidR="00320E09">
        <w:t xml:space="preserve">o re-run </w:t>
      </w:r>
      <w:r>
        <w:t xml:space="preserve">the same </w:t>
      </w:r>
      <w:r w:rsidR="00320E09">
        <w:t xml:space="preserve">report </w:t>
      </w:r>
      <w:r w:rsidR="001B75E0">
        <w:t>with</w:t>
      </w:r>
      <w:r w:rsidR="00320E09">
        <w:t xml:space="preserve"> different prompts, </w:t>
      </w:r>
      <w:r w:rsidR="001B75E0">
        <w:t>click</w:t>
      </w:r>
      <w:r w:rsidR="00320E09">
        <w:t xml:space="preserve"> the </w:t>
      </w:r>
      <w:r w:rsidR="001B75E0">
        <w:t>“</w:t>
      </w:r>
      <w:r w:rsidR="00041F07">
        <w:t>Run</w:t>
      </w:r>
      <w:r w:rsidR="001B75E0">
        <w:t>”</w:t>
      </w:r>
      <w:r w:rsidR="00320E09">
        <w:t xml:space="preserve"> </w:t>
      </w:r>
      <w:r w:rsidR="001B75E0">
        <w:t xml:space="preserve">icon </w:t>
      </w:r>
      <w:r w:rsidR="001B75E0">
        <w:rPr>
          <w:noProof/>
        </w:rPr>
        <w:drawing>
          <wp:inline distT="0" distB="0" distL="0" distR="0">
            <wp:extent cx="199100" cy="17227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" cy="1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E09">
        <w:t xml:space="preserve">.  After the report runs, click </w:t>
      </w:r>
      <w:r w:rsidR="001B75E0">
        <w:t>the “Return” icon</w:t>
      </w:r>
      <w:r w:rsidR="00320E09">
        <w:t xml:space="preserve"> </w:t>
      </w:r>
      <w:r w:rsidR="001B75E0">
        <w:rPr>
          <w:noProof/>
        </w:rPr>
        <w:drawing>
          <wp:inline distT="0" distB="0" distL="0" distR="0">
            <wp:extent cx="244172" cy="191770"/>
            <wp:effectExtent l="19050" t="0" r="347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2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5E0">
        <w:t xml:space="preserve"> </w:t>
      </w:r>
      <w:r w:rsidR="00320E09">
        <w:t xml:space="preserve">to </w:t>
      </w:r>
      <w:r w:rsidR="00B72297">
        <w:t>return</w:t>
      </w:r>
      <w:r w:rsidR="00320E09">
        <w:t xml:space="preserve"> to the previous page.</w:t>
      </w:r>
    </w:p>
    <w:p w:rsidR="00320E09" w:rsidRDefault="001B75E0" w:rsidP="001B75E0">
      <w:r>
        <w:rPr>
          <w:noProof/>
        </w:rPr>
        <w:drawing>
          <wp:inline distT="0" distB="0" distL="0" distR="0">
            <wp:extent cx="4943889" cy="2074835"/>
            <wp:effectExtent l="19050" t="0" r="911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67" cy="20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09" w:rsidRDefault="00320E09" w:rsidP="00645024">
      <w:r>
        <w:t xml:space="preserve">Click </w:t>
      </w:r>
      <w:r w:rsidR="00645024">
        <w:t xml:space="preserve">“Log Off” to exit Cognos </w:t>
      </w:r>
      <w:r w:rsidR="00D33B4B">
        <w:t>10</w:t>
      </w:r>
      <w:r w:rsidR="00645024">
        <w:t>.</w:t>
      </w:r>
      <w:r w:rsidR="00645024">
        <w:br/>
      </w:r>
      <w:r w:rsidR="00D33B4B">
        <w:rPr>
          <w:noProof/>
        </w:rPr>
        <w:drawing>
          <wp:inline distT="0" distB="0" distL="0" distR="0" wp14:anchorId="109DFBFC" wp14:editId="6E62FA78">
            <wp:extent cx="4962939" cy="10843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939" cy="10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24" w:rsidRDefault="00645024" w:rsidP="00645024"/>
    <w:p w:rsidR="00645024" w:rsidRDefault="00320E09" w:rsidP="00645024">
      <w:r>
        <w:t xml:space="preserve">For more details on navigating and personalizing </w:t>
      </w:r>
      <w:r w:rsidR="00041F07">
        <w:t xml:space="preserve">the </w:t>
      </w:r>
      <w:r>
        <w:t xml:space="preserve">Cognos Connection, take the Cognos Connection Quick Tour by selecting </w:t>
      </w:r>
      <w:r w:rsidR="000A3C80">
        <w:t>“</w:t>
      </w:r>
      <w:r w:rsidR="005B626B">
        <w:t xml:space="preserve">IBM Cognos Connection </w:t>
      </w:r>
      <w:r>
        <w:t>Quick Tour</w:t>
      </w:r>
      <w:r w:rsidR="000A3C80">
        <w:t>”</w:t>
      </w:r>
      <w:r>
        <w:t xml:space="preserve"> button on the </w:t>
      </w:r>
      <w:r w:rsidR="005B626B">
        <w:t>Official MoDOT Reporting intranet</w:t>
      </w:r>
      <w:r>
        <w:t xml:space="preserve"> page.  </w:t>
      </w:r>
      <w:r w:rsidR="00645024">
        <w:br/>
      </w:r>
      <w:r w:rsidR="005B626B">
        <w:rPr>
          <w:noProof/>
        </w:rPr>
        <w:drawing>
          <wp:inline distT="0" distB="0" distL="0" distR="0" wp14:anchorId="6C5D5AC2" wp14:editId="5DD66498">
            <wp:extent cx="5022574" cy="30822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1237" cy="30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09" w:rsidRDefault="00320E09" w:rsidP="000A3C80">
      <w:pPr>
        <w:pStyle w:val="Heading1"/>
      </w:pPr>
      <w:r w:rsidRPr="00EB4BF2">
        <w:lastRenderedPageBreak/>
        <w:t>V</w:t>
      </w:r>
      <w:r>
        <w:t>iews:</w:t>
      </w:r>
    </w:p>
    <w:p w:rsidR="00320E09" w:rsidRDefault="00320E09" w:rsidP="000A3C80">
      <w:r>
        <w:t xml:space="preserve">A useful feature of </w:t>
      </w:r>
      <w:r w:rsidR="000A3C80">
        <w:t xml:space="preserve">Cognos </w:t>
      </w:r>
      <w:r w:rsidR="005B626B">
        <w:t>10</w:t>
      </w:r>
      <w:r>
        <w:t xml:space="preserve"> is the ability to create a </w:t>
      </w:r>
      <w:r w:rsidR="000A3C80">
        <w:t>“View”</w:t>
      </w:r>
      <w:r>
        <w:t xml:space="preserve"> of a standard report.  This allows </w:t>
      </w:r>
      <w:r w:rsidR="000A3C80">
        <w:t>the user</w:t>
      </w:r>
      <w:r>
        <w:t xml:space="preserve"> to build links to commonly used reports in </w:t>
      </w:r>
      <w:r w:rsidR="000A3C80">
        <w:t>the</w:t>
      </w:r>
      <w:r>
        <w:t xml:space="preserve"> </w:t>
      </w:r>
      <w:r w:rsidR="000A3C80">
        <w:t>“</w:t>
      </w:r>
      <w:r>
        <w:t>My Folders</w:t>
      </w:r>
      <w:r w:rsidR="000A3C80">
        <w:t>”</w:t>
      </w:r>
      <w:r>
        <w:t xml:space="preserve"> area.  This can save time with reports </w:t>
      </w:r>
      <w:r w:rsidR="000A3C80">
        <w:t>that are</w:t>
      </w:r>
      <w:r>
        <w:t xml:space="preserve"> run </w:t>
      </w:r>
      <w:r w:rsidR="00EB4BF2">
        <w:t>frequently</w:t>
      </w:r>
      <w:r>
        <w:t>.</w:t>
      </w:r>
    </w:p>
    <w:p w:rsidR="00320E09" w:rsidRDefault="000A3C80" w:rsidP="000A3C80">
      <w:r>
        <w:rPr>
          <w:noProof/>
        </w:rPr>
        <w:drawing>
          <wp:inline distT="0" distB="0" distL="0" distR="0">
            <wp:extent cx="4954380" cy="19281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50" cy="19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09" w:rsidRDefault="00320E09" w:rsidP="00320E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:rsidR="00320E09" w:rsidRDefault="00320E09" w:rsidP="00320E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:rsidR="00320E09" w:rsidRDefault="00B66D6C" w:rsidP="00B66D6C">
      <w:r>
        <w:rPr>
          <w:noProof/>
        </w:rPr>
        <w:drawing>
          <wp:inline distT="0" distB="0" distL="0" distR="0">
            <wp:extent cx="4957141" cy="259446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75" cy="25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6C" w:rsidRDefault="00185562" w:rsidP="00185562">
      <w:pPr>
        <w:ind w:left="720" w:hanging="720"/>
      </w:pPr>
      <w:r w:rsidRPr="00185562">
        <w:rPr>
          <w:b/>
        </w:rPr>
        <w:t>Note:</w:t>
      </w:r>
      <w:r>
        <w:tab/>
      </w:r>
      <w:r w:rsidR="00041F07">
        <w:t>A Report View will continue to run i</w:t>
      </w:r>
      <w:r>
        <w:t>f the original report is updated</w:t>
      </w:r>
      <w:r w:rsidR="00041F07">
        <w:t xml:space="preserve">, </w:t>
      </w:r>
      <w:r>
        <w:t>whereas</w:t>
      </w:r>
      <w:r w:rsidR="00041F07">
        <w:t xml:space="preserve"> a </w:t>
      </w:r>
      <w:r>
        <w:t>copied report</w:t>
      </w:r>
      <w:r w:rsidR="00041F07">
        <w:t xml:space="preserve"> will </w:t>
      </w:r>
      <w:r>
        <w:t>not.</w:t>
      </w:r>
    </w:p>
    <w:p w:rsidR="00B66D6C" w:rsidRDefault="00B66D6C" w:rsidP="00B66D6C"/>
    <w:p w:rsidR="00B66D6C" w:rsidRDefault="00B66D6C" w:rsidP="00B66D6C"/>
    <w:p w:rsidR="00B66D6C" w:rsidRDefault="00B66D6C" w:rsidP="00B66D6C"/>
    <w:p w:rsidR="00B66D6C" w:rsidRDefault="00B66D6C" w:rsidP="00B66D6C"/>
    <w:p w:rsidR="00320E09" w:rsidRDefault="00320E09" w:rsidP="00B66D6C">
      <w:pPr>
        <w:pStyle w:val="Heading1"/>
      </w:pPr>
      <w:r>
        <w:lastRenderedPageBreak/>
        <w:t>Printing:</w:t>
      </w:r>
    </w:p>
    <w:p w:rsidR="00320E09" w:rsidRDefault="00B66D6C" w:rsidP="00B66D6C">
      <w:r>
        <w:t xml:space="preserve">Cognos </w:t>
      </w:r>
      <w:r w:rsidR="005B626B">
        <w:t>10</w:t>
      </w:r>
      <w:r w:rsidR="00320E09">
        <w:t xml:space="preserve"> has the ability to output reports in </w:t>
      </w:r>
      <w:r>
        <w:t>multiple</w:t>
      </w:r>
      <w:r w:rsidR="00320E09">
        <w:t xml:space="preserve"> formats. </w:t>
      </w:r>
      <w:r>
        <w:t xml:space="preserve"> However</w:t>
      </w:r>
      <w:r w:rsidR="00320E09">
        <w:t xml:space="preserve">, the PDF format was chosen as the best overall output format </w:t>
      </w:r>
      <w:r>
        <w:t>for Construction and Materials reports</w:t>
      </w:r>
      <w:r w:rsidR="00320E09">
        <w:t xml:space="preserve">.  One nuance of PDF output is that </w:t>
      </w:r>
      <w:r w:rsidR="004E2A06">
        <w:t xml:space="preserve">the user </w:t>
      </w:r>
      <w:r w:rsidR="004E2A06" w:rsidRPr="005B626B">
        <w:rPr>
          <w:b/>
          <w:u w:val="single"/>
        </w:rPr>
        <w:t>must</w:t>
      </w:r>
      <w:r w:rsidR="004E2A06">
        <w:t xml:space="preserve"> use the </w:t>
      </w:r>
      <w:r w:rsidR="00320E09">
        <w:t xml:space="preserve">print button on the PDF tool bar </w:t>
      </w:r>
      <w:r w:rsidR="004E2A06">
        <w:t>for the report to print</w:t>
      </w:r>
      <w:r w:rsidR="00320E09">
        <w:t xml:space="preserve"> correctly.  </w:t>
      </w:r>
    </w:p>
    <w:p w:rsidR="00320E09" w:rsidRDefault="00320E09" w:rsidP="00AF38D4">
      <w:pPr>
        <w:keepNext/>
        <w:autoSpaceDE w:val="0"/>
        <w:autoSpaceDN w:val="0"/>
        <w:adjustRightInd w:val="0"/>
        <w:spacing w:after="0"/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279D5">
        <w:rPr>
          <w:noProof/>
        </w:rPr>
        <w:drawing>
          <wp:inline distT="0" distB="0" distL="0" distR="0" wp14:anchorId="4DC86B22" wp14:editId="62C8C98F">
            <wp:extent cx="4777409" cy="15266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7203" cy="15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09" w:rsidRDefault="00320E09" w:rsidP="00320E0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:rsidR="00320E09" w:rsidRDefault="00320E09" w:rsidP="00AF38D4">
      <w:pPr>
        <w:pStyle w:val="Heading1"/>
      </w:pPr>
      <w:r>
        <w:t>Change the Output Format of the Report:</w:t>
      </w:r>
    </w:p>
    <w:p w:rsidR="00320E09" w:rsidRPr="006C2232" w:rsidRDefault="00320E09" w:rsidP="006C2232">
      <w:r>
        <w:t xml:space="preserve">SiteManager reports should default to a PDF format for output report.  However, there are other formats the user could select if desired, such as an Excel format.  </w:t>
      </w:r>
      <w:r w:rsidR="00AF38D4">
        <w:t>To run a report in a different format</w:t>
      </w:r>
      <w:r>
        <w:t xml:space="preserve">, select the </w:t>
      </w:r>
      <w:r w:rsidR="00AF38D4">
        <w:t>“</w:t>
      </w:r>
      <w:r>
        <w:t>Run with Options</w:t>
      </w:r>
      <w:r w:rsidR="00AF38D4">
        <w:t>”</w:t>
      </w:r>
      <w:r>
        <w:t xml:space="preserve"> </w:t>
      </w:r>
      <w:r w:rsidR="00AF38D4">
        <w:t>button.</w:t>
      </w:r>
    </w:p>
    <w:p w:rsidR="00320E09" w:rsidRDefault="006C2232" w:rsidP="006C2232">
      <w:r>
        <w:rPr>
          <w:noProof/>
        </w:rPr>
        <w:drawing>
          <wp:inline distT="0" distB="0" distL="0" distR="0">
            <wp:extent cx="4795752" cy="1583635"/>
            <wp:effectExtent l="19050" t="0" r="4848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90" cy="15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09" w:rsidRPr="00320E09" w:rsidRDefault="00185562" w:rsidP="00320E09">
      <w:r>
        <w:t xml:space="preserve">The user can then select a different </w:t>
      </w:r>
      <w:r w:rsidR="00320E09">
        <w:t>output</w:t>
      </w:r>
      <w:r w:rsidR="006C2232">
        <w:t xml:space="preserve"> format from the drop-down list.</w:t>
      </w:r>
      <w:r w:rsidR="006C2232">
        <w:br/>
      </w:r>
      <w:r w:rsidR="006C2232">
        <w:rPr>
          <w:noProof/>
        </w:rPr>
        <w:drawing>
          <wp:inline distT="0" distB="0" distL="0" distR="0">
            <wp:extent cx="4745107" cy="149075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10" cy="149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E09" w:rsidRPr="00320E09" w:rsidSect="000071FD">
      <w:footerReference w:type="default" r:id="rId3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26B" w:rsidRDefault="005B626B" w:rsidP="00EC25EB">
      <w:pPr>
        <w:spacing w:after="0"/>
      </w:pPr>
      <w:r>
        <w:separator/>
      </w:r>
    </w:p>
  </w:endnote>
  <w:endnote w:type="continuationSeparator" w:id="0">
    <w:p w:rsidR="005B626B" w:rsidRDefault="005B626B" w:rsidP="00EC25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6625"/>
      <w:docPartObj>
        <w:docPartGallery w:val="Page Numbers (Bottom of Page)"/>
        <w:docPartUnique/>
      </w:docPartObj>
    </w:sdtPr>
    <w:sdtEndPr>
      <w:rPr>
        <w:b/>
      </w:rPr>
    </w:sdtEndPr>
    <w:sdtContent>
      <w:p w:rsidR="005B626B" w:rsidRDefault="005B626B" w:rsidP="000071FD">
        <w:pPr>
          <w:pStyle w:val="Footer"/>
        </w:pPr>
        <w:r>
          <w:t xml:space="preserve">Cognos </w:t>
        </w:r>
        <w:r w:rsidR="007279D5">
          <w:t>10</w:t>
        </w:r>
        <w:r>
          <w:t xml:space="preserve"> Access (Rev. 11/2013)</w:t>
        </w:r>
        <w:r>
          <w:tab/>
        </w:r>
        <w:r>
          <w:tab/>
          <w:t xml:space="preserve">Page </w:t>
        </w:r>
        <w:r>
          <w:rPr>
            <w:b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</w:rPr>
          <w:fldChar w:fldCharType="separate"/>
        </w:r>
        <w:r w:rsidR="00FE3F69">
          <w:rPr>
            <w:b/>
            <w:noProof/>
          </w:rPr>
          <w:t>1</w:t>
        </w:r>
        <w:r>
          <w:rPr>
            <w:b/>
          </w:rPr>
          <w:fldChar w:fldCharType="end"/>
        </w:r>
        <w:r>
          <w:t xml:space="preserve"> of </w:t>
        </w:r>
        <w:r>
          <w:rPr>
            <w:b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</w:rPr>
          <w:fldChar w:fldCharType="separate"/>
        </w:r>
        <w:r w:rsidR="00FE3F69">
          <w:rPr>
            <w:b/>
            <w:noProof/>
          </w:rPr>
          <w:t>8</w:t>
        </w:r>
        <w:r>
          <w:rPr>
            <w:b/>
          </w:rPr>
          <w:fldChar w:fldCharType="end"/>
        </w:r>
      </w:p>
    </w:sdtContent>
  </w:sdt>
  <w:p w:rsidR="005B626B" w:rsidRDefault="005B62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26B" w:rsidRDefault="005B626B" w:rsidP="00EC25EB">
      <w:pPr>
        <w:spacing w:after="0"/>
      </w:pPr>
      <w:r>
        <w:separator/>
      </w:r>
    </w:p>
  </w:footnote>
  <w:footnote w:type="continuationSeparator" w:id="0">
    <w:p w:rsidR="005B626B" w:rsidRDefault="005B626B" w:rsidP="00EC25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78850C"/>
    <w:lvl w:ilvl="0">
      <w:numFmt w:val="bullet"/>
      <w:lvlText w:val="*"/>
      <w:lvlJc w:val="left"/>
    </w:lvl>
  </w:abstractNum>
  <w:abstractNum w:abstractNumId="1">
    <w:nsid w:val="031F5E91"/>
    <w:multiLevelType w:val="multilevel"/>
    <w:tmpl w:val="29DE7D1A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">
    <w:nsid w:val="045B3E52"/>
    <w:multiLevelType w:val="multilevel"/>
    <w:tmpl w:val="29DE7D1A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">
    <w:nsid w:val="064F32AB"/>
    <w:multiLevelType w:val="hybridMultilevel"/>
    <w:tmpl w:val="A09C0C1A"/>
    <w:lvl w:ilvl="0" w:tplc="98FECE2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0776E"/>
    <w:multiLevelType w:val="hybridMultilevel"/>
    <w:tmpl w:val="F17CB6F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67F440D"/>
    <w:multiLevelType w:val="hybridMultilevel"/>
    <w:tmpl w:val="C12C488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BC933A9"/>
    <w:multiLevelType w:val="hybridMultilevel"/>
    <w:tmpl w:val="44DAED10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1D67333B"/>
    <w:multiLevelType w:val="hybridMultilevel"/>
    <w:tmpl w:val="3F866CE6"/>
    <w:lvl w:ilvl="0" w:tplc="A0881F8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980130"/>
    <w:multiLevelType w:val="multilevel"/>
    <w:tmpl w:val="29DE7D1A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9">
    <w:nsid w:val="3A3415D7"/>
    <w:multiLevelType w:val="hybridMultilevel"/>
    <w:tmpl w:val="B906BA5E"/>
    <w:lvl w:ilvl="0" w:tplc="28DCC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6684C"/>
    <w:multiLevelType w:val="hybridMultilevel"/>
    <w:tmpl w:val="D00CF0C2"/>
    <w:lvl w:ilvl="0" w:tplc="A0881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F43C0"/>
    <w:multiLevelType w:val="hybridMultilevel"/>
    <w:tmpl w:val="C73CC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6337F1"/>
    <w:multiLevelType w:val="hybridMultilevel"/>
    <w:tmpl w:val="C3F88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418F1"/>
    <w:multiLevelType w:val="hybridMultilevel"/>
    <w:tmpl w:val="2ABCB5B0"/>
    <w:lvl w:ilvl="0" w:tplc="CF6C03E6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E13254D"/>
    <w:multiLevelType w:val="hybridMultilevel"/>
    <w:tmpl w:val="FA541396"/>
    <w:lvl w:ilvl="0" w:tplc="BB5E7B0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C8188F"/>
    <w:multiLevelType w:val="hybridMultilevel"/>
    <w:tmpl w:val="83E8C040"/>
    <w:lvl w:ilvl="0" w:tplc="D5EE837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9558F7"/>
    <w:multiLevelType w:val="multilevel"/>
    <w:tmpl w:val="29DE7D1A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6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7">
    <w:abstractNumId w:val="10"/>
  </w:num>
  <w:num w:numId="8">
    <w:abstractNumId w:val="7"/>
  </w:num>
  <w:num w:numId="9">
    <w:abstractNumId w:val="11"/>
  </w:num>
  <w:num w:numId="10">
    <w:abstractNumId w:val="8"/>
  </w:num>
  <w:num w:numId="11">
    <w:abstractNumId w:val="1"/>
  </w:num>
  <w:num w:numId="12">
    <w:abstractNumId w:val="12"/>
  </w:num>
  <w:num w:numId="13">
    <w:abstractNumId w:val="14"/>
  </w:num>
  <w:num w:numId="14">
    <w:abstractNumId w:val="13"/>
  </w:num>
  <w:num w:numId="15">
    <w:abstractNumId w:val="9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6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3A"/>
    <w:rsid w:val="00002190"/>
    <w:rsid w:val="0000382D"/>
    <w:rsid w:val="000071FD"/>
    <w:rsid w:val="0002357F"/>
    <w:rsid w:val="0004195C"/>
    <w:rsid w:val="00041F07"/>
    <w:rsid w:val="0004759F"/>
    <w:rsid w:val="00051F07"/>
    <w:rsid w:val="000635A1"/>
    <w:rsid w:val="000A3C80"/>
    <w:rsid w:val="000A52FA"/>
    <w:rsid w:val="000A54EF"/>
    <w:rsid w:val="000B77D0"/>
    <w:rsid w:val="000C08D4"/>
    <w:rsid w:val="000C3ABA"/>
    <w:rsid w:val="000D0BB2"/>
    <w:rsid w:val="000D7B36"/>
    <w:rsid w:val="000E64AF"/>
    <w:rsid w:val="0010035A"/>
    <w:rsid w:val="00137B9B"/>
    <w:rsid w:val="00140288"/>
    <w:rsid w:val="00140B50"/>
    <w:rsid w:val="00151E57"/>
    <w:rsid w:val="00165DD1"/>
    <w:rsid w:val="00185562"/>
    <w:rsid w:val="001A189F"/>
    <w:rsid w:val="001B4A52"/>
    <w:rsid w:val="001B75E0"/>
    <w:rsid w:val="001C7EC8"/>
    <w:rsid w:val="001D5465"/>
    <w:rsid w:val="001F2AB8"/>
    <w:rsid w:val="001F5242"/>
    <w:rsid w:val="00207D47"/>
    <w:rsid w:val="00215C85"/>
    <w:rsid w:val="00230CAF"/>
    <w:rsid w:val="0024266B"/>
    <w:rsid w:val="00251B10"/>
    <w:rsid w:val="00257DAF"/>
    <w:rsid w:val="00282893"/>
    <w:rsid w:val="00295CC1"/>
    <w:rsid w:val="002B2A87"/>
    <w:rsid w:val="002B2F42"/>
    <w:rsid w:val="002C79A2"/>
    <w:rsid w:val="002E1BF7"/>
    <w:rsid w:val="00302EB0"/>
    <w:rsid w:val="003055F9"/>
    <w:rsid w:val="00306985"/>
    <w:rsid w:val="00320E09"/>
    <w:rsid w:val="00324816"/>
    <w:rsid w:val="003329FA"/>
    <w:rsid w:val="00334525"/>
    <w:rsid w:val="0033660B"/>
    <w:rsid w:val="0035369D"/>
    <w:rsid w:val="003A11A1"/>
    <w:rsid w:val="003D76B1"/>
    <w:rsid w:val="004339E6"/>
    <w:rsid w:val="00451F0B"/>
    <w:rsid w:val="00473191"/>
    <w:rsid w:val="004B2E31"/>
    <w:rsid w:val="004C3F40"/>
    <w:rsid w:val="004C7ECB"/>
    <w:rsid w:val="004E0F19"/>
    <w:rsid w:val="004E2A06"/>
    <w:rsid w:val="004F0A3F"/>
    <w:rsid w:val="004F1191"/>
    <w:rsid w:val="00504AAA"/>
    <w:rsid w:val="0051094A"/>
    <w:rsid w:val="0052553A"/>
    <w:rsid w:val="00530C02"/>
    <w:rsid w:val="00540A2C"/>
    <w:rsid w:val="0055759F"/>
    <w:rsid w:val="0058139F"/>
    <w:rsid w:val="005B626B"/>
    <w:rsid w:val="005C3C76"/>
    <w:rsid w:val="005C51CD"/>
    <w:rsid w:val="005D141F"/>
    <w:rsid w:val="005D5C15"/>
    <w:rsid w:val="005E6147"/>
    <w:rsid w:val="00600691"/>
    <w:rsid w:val="00611740"/>
    <w:rsid w:val="006217B6"/>
    <w:rsid w:val="006318AF"/>
    <w:rsid w:val="00645024"/>
    <w:rsid w:val="00646D42"/>
    <w:rsid w:val="00647C57"/>
    <w:rsid w:val="00647E39"/>
    <w:rsid w:val="00654CF9"/>
    <w:rsid w:val="00656A4E"/>
    <w:rsid w:val="006664A2"/>
    <w:rsid w:val="00683F3A"/>
    <w:rsid w:val="006865B1"/>
    <w:rsid w:val="006B32A8"/>
    <w:rsid w:val="006C2232"/>
    <w:rsid w:val="006D10C7"/>
    <w:rsid w:val="006F1DBE"/>
    <w:rsid w:val="0071211D"/>
    <w:rsid w:val="007258D4"/>
    <w:rsid w:val="007279D5"/>
    <w:rsid w:val="007324B0"/>
    <w:rsid w:val="00734C35"/>
    <w:rsid w:val="00750003"/>
    <w:rsid w:val="007559F3"/>
    <w:rsid w:val="007630B7"/>
    <w:rsid w:val="00766409"/>
    <w:rsid w:val="00771887"/>
    <w:rsid w:val="00772140"/>
    <w:rsid w:val="007777F5"/>
    <w:rsid w:val="0078677A"/>
    <w:rsid w:val="007A412B"/>
    <w:rsid w:val="007C1103"/>
    <w:rsid w:val="007C2C21"/>
    <w:rsid w:val="007E0CB7"/>
    <w:rsid w:val="007F6C10"/>
    <w:rsid w:val="00803B55"/>
    <w:rsid w:val="00815811"/>
    <w:rsid w:val="00825FBA"/>
    <w:rsid w:val="0083698F"/>
    <w:rsid w:val="00847DC1"/>
    <w:rsid w:val="00864735"/>
    <w:rsid w:val="008661B3"/>
    <w:rsid w:val="0087144E"/>
    <w:rsid w:val="008A27D1"/>
    <w:rsid w:val="008D0399"/>
    <w:rsid w:val="00912E28"/>
    <w:rsid w:val="009313E3"/>
    <w:rsid w:val="00944EB1"/>
    <w:rsid w:val="009536D4"/>
    <w:rsid w:val="00967551"/>
    <w:rsid w:val="00973871"/>
    <w:rsid w:val="00973E56"/>
    <w:rsid w:val="00983AB4"/>
    <w:rsid w:val="00996F35"/>
    <w:rsid w:val="009A08E1"/>
    <w:rsid w:val="009B1A15"/>
    <w:rsid w:val="009C7CC7"/>
    <w:rsid w:val="009D4A8E"/>
    <w:rsid w:val="009D5B66"/>
    <w:rsid w:val="009D5D16"/>
    <w:rsid w:val="009D7075"/>
    <w:rsid w:val="009E1915"/>
    <w:rsid w:val="009F087E"/>
    <w:rsid w:val="00A206B9"/>
    <w:rsid w:val="00A31B3E"/>
    <w:rsid w:val="00A3245A"/>
    <w:rsid w:val="00A37D81"/>
    <w:rsid w:val="00A423AD"/>
    <w:rsid w:val="00A46C04"/>
    <w:rsid w:val="00A50406"/>
    <w:rsid w:val="00A7582F"/>
    <w:rsid w:val="00A769F7"/>
    <w:rsid w:val="00A81DA3"/>
    <w:rsid w:val="00AA355A"/>
    <w:rsid w:val="00AB303E"/>
    <w:rsid w:val="00AD1E79"/>
    <w:rsid w:val="00AF38D4"/>
    <w:rsid w:val="00B15280"/>
    <w:rsid w:val="00B16937"/>
    <w:rsid w:val="00B32AFD"/>
    <w:rsid w:val="00B429B6"/>
    <w:rsid w:val="00B465F7"/>
    <w:rsid w:val="00B62BD9"/>
    <w:rsid w:val="00B66D6C"/>
    <w:rsid w:val="00B70533"/>
    <w:rsid w:val="00B72297"/>
    <w:rsid w:val="00BA440D"/>
    <w:rsid w:val="00BB0247"/>
    <w:rsid w:val="00BE44A4"/>
    <w:rsid w:val="00BF18BB"/>
    <w:rsid w:val="00BF49FB"/>
    <w:rsid w:val="00BF6450"/>
    <w:rsid w:val="00C07683"/>
    <w:rsid w:val="00C30C0D"/>
    <w:rsid w:val="00C35505"/>
    <w:rsid w:val="00C42068"/>
    <w:rsid w:val="00C61F27"/>
    <w:rsid w:val="00C642FE"/>
    <w:rsid w:val="00C72C99"/>
    <w:rsid w:val="00C775FE"/>
    <w:rsid w:val="00C814D3"/>
    <w:rsid w:val="00CD6B03"/>
    <w:rsid w:val="00CE6E1D"/>
    <w:rsid w:val="00CF07B0"/>
    <w:rsid w:val="00D33B4B"/>
    <w:rsid w:val="00D62B00"/>
    <w:rsid w:val="00D827F9"/>
    <w:rsid w:val="00D842D5"/>
    <w:rsid w:val="00D86F3A"/>
    <w:rsid w:val="00D92D5A"/>
    <w:rsid w:val="00DB244A"/>
    <w:rsid w:val="00DC2B0E"/>
    <w:rsid w:val="00DC75C4"/>
    <w:rsid w:val="00DD4082"/>
    <w:rsid w:val="00DF2E9A"/>
    <w:rsid w:val="00E13ED7"/>
    <w:rsid w:val="00E21DD1"/>
    <w:rsid w:val="00E614B0"/>
    <w:rsid w:val="00E647D1"/>
    <w:rsid w:val="00E700C6"/>
    <w:rsid w:val="00E70699"/>
    <w:rsid w:val="00E7294E"/>
    <w:rsid w:val="00E73380"/>
    <w:rsid w:val="00E932C8"/>
    <w:rsid w:val="00E94F88"/>
    <w:rsid w:val="00EA2898"/>
    <w:rsid w:val="00EA7A00"/>
    <w:rsid w:val="00EB360E"/>
    <w:rsid w:val="00EB4BF2"/>
    <w:rsid w:val="00EC25EB"/>
    <w:rsid w:val="00EE1A78"/>
    <w:rsid w:val="00EE4180"/>
    <w:rsid w:val="00F10B5C"/>
    <w:rsid w:val="00F17D0C"/>
    <w:rsid w:val="00F2271E"/>
    <w:rsid w:val="00F27D7A"/>
    <w:rsid w:val="00F64D17"/>
    <w:rsid w:val="00F713FD"/>
    <w:rsid w:val="00F8099B"/>
    <w:rsid w:val="00F86750"/>
    <w:rsid w:val="00FA1E99"/>
    <w:rsid w:val="00FA30BB"/>
    <w:rsid w:val="00FA519A"/>
    <w:rsid w:val="00FC0AB8"/>
    <w:rsid w:val="00FC124C"/>
    <w:rsid w:val="00FC281B"/>
    <w:rsid w:val="00FE3F69"/>
    <w:rsid w:val="00FF053F"/>
    <w:rsid w:val="00FF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B8"/>
    <w:pPr>
      <w:spacing w:after="24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42FE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000099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04AAA"/>
    <w:pPr>
      <w:keepNext/>
      <w:keepLines/>
      <w:spacing w:before="360" w:after="120"/>
      <w:outlineLvl w:val="1"/>
    </w:pPr>
    <w:rPr>
      <w:rFonts w:ascii="Arial" w:eastAsiaTheme="majorEastAsia" w:hAnsi="Arial" w:cstheme="majorBidi"/>
      <w:b/>
      <w:bCs/>
      <w:color w:val="9900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32AFD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2AFD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642FE"/>
    <w:rPr>
      <w:rFonts w:ascii="Arial" w:eastAsiaTheme="majorEastAsia" w:hAnsi="Arial" w:cstheme="majorBidi"/>
      <w:b/>
      <w:bCs/>
      <w:color w:val="000099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4AAA"/>
    <w:rPr>
      <w:rFonts w:ascii="Arial" w:eastAsiaTheme="majorEastAsia" w:hAnsi="Arial" w:cstheme="majorBidi"/>
      <w:b/>
      <w:bCs/>
      <w:color w:val="9900CC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C25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25EB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EC25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25EB"/>
    <w:rPr>
      <w:rFonts w:ascii="Arial" w:hAnsi="Arial"/>
      <w:szCs w:val="24"/>
    </w:rPr>
  </w:style>
  <w:style w:type="character" w:styleId="Strong">
    <w:name w:val="Strong"/>
    <w:basedOn w:val="DefaultParagraphFont"/>
    <w:uiPriority w:val="22"/>
    <w:qFormat/>
    <w:rsid w:val="001A189F"/>
    <w:rPr>
      <w:b/>
      <w:bCs/>
    </w:rPr>
  </w:style>
  <w:style w:type="character" w:styleId="Emphasis">
    <w:name w:val="Emphasis"/>
    <w:basedOn w:val="DefaultParagraphFont"/>
    <w:uiPriority w:val="20"/>
    <w:qFormat/>
    <w:rsid w:val="001A189F"/>
    <w:rPr>
      <w:i/>
      <w:iCs/>
    </w:rPr>
  </w:style>
  <w:style w:type="paragraph" w:customStyle="1" w:styleId="Table">
    <w:name w:val="Table"/>
    <w:basedOn w:val="Normal"/>
    <w:link w:val="TableChar"/>
    <w:autoRedefine/>
    <w:qFormat/>
    <w:rsid w:val="00654CF9"/>
    <w:pPr>
      <w:spacing w:after="0"/>
      <w:jc w:val="center"/>
    </w:pPr>
  </w:style>
  <w:style w:type="table" w:styleId="TableGrid">
    <w:name w:val="Table Grid"/>
    <w:basedOn w:val="TableNormal"/>
    <w:uiPriority w:val="59"/>
    <w:rsid w:val="00E729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Char">
    <w:name w:val="Table Char"/>
    <w:basedOn w:val="DefaultParagraphFont"/>
    <w:link w:val="Table"/>
    <w:rsid w:val="00654CF9"/>
    <w:rPr>
      <w:rFonts w:ascii="Arial" w:hAnsi="Arial"/>
      <w:szCs w:val="24"/>
    </w:rPr>
  </w:style>
  <w:style w:type="paragraph" w:styleId="NoSpacing">
    <w:name w:val="No Spacing"/>
    <w:uiPriority w:val="1"/>
    <w:qFormat/>
    <w:rsid w:val="00E7294E"/>
    <w:pPr>
      <w:ind w:left="288"/>
    </w:pPr>
    <w:rPr>
      <w:rFonts w:ascii="Arial" w:hAnsi="Arial"/>
      <w:szCs w:val="24"/>
    </w:rPr>
  </w:style>
  <w:style w:type="paragraph" w:styleId="ListParagraph">
    <w:name w:val="List Paragraph"/>
    <w:aliases w:val="Number"/>
    <w:basedOn w:val="Normal"/>
    <w:autoRedefine/>
    <w:uiPriority w:val="34"/>
    <w:qFormat/>
    <w:rsid w:val="00C30C0D"/>
    <w:pPr>
      <w:numPr>
        <w:numId w:val="17"/>
      </w:numPr>
      <w:spacing w:after="0"/>
      <w:ind w:left="432" w:hanging="432"/>
      <w:contextualSpacing/>
    </w:pPr>
  </w:style>
  <w:style w:type="character" w:styleId="Hyperlink">
    <w:name w:val="Hyperlink"/>
    <w:basedOn w:val="DefaultParagraphFont"/>
    <w:uiPriority w:val="99"/>
    <w:unhideWhenUsed/>
    <w:rsid w:val="00C642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2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0035A"/>
    <w:pPr>
      <w:spacing w:before="96" w:after="120" w:line="360" w:lineRule="atLeast"/>
    </w:pPr>
  </w:style>
  <w:style w:type="paragraph" w:customStyle="1" w:styleId="Default">
    <w:name w:val="Default"/>
    <w:rsid w:val="009536D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B8"/>
    <w:pPr>
      <w:spacing w:after="24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42FE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000099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04AAA"/>
    <w:pPr>
      <w:keepNext/>
      <w:keepLines/>
      <w:spacing w:before="360" w:after="120"/>
      <w:outlineLvl w:val="1"/>
    </w:pPr>
    <w:rPr>
      <w:rFonts w:ascii="Arial" w:eastAsiaTheme="majorEastAsia" w:hAnsi="Arial" w:cstheme="majorBidi"/>
      <w:b/>
      <w:bCs/>
      <w:color w:val="9900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32AFD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2AFD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642FE"/>
    <w:rPr>
      <w:rFonts w:ascii="Arial" w:eastAsiaTheme="majorEastAsia" w:hAnsi="Arial" w:cstheme="majorBidi"/>
      <w:b/>
      <w:bCs/>
      <w:color w:val="000099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4AAA"/>
    <w:rPr>
      <w:rFonts w:ascii="Arial" w:eastAsiaTheme="majorEastAsia" w:hAnsi="Arial" w:cstheme="majorBidi"/>
      <w:b/>
      <w:bCs/>
      <w:color w:val="9900CC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C25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25EB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EC25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25EB"/>
    <w:rPr>
      <w:rFonts w:ascii="Arial" w:hAnsi="Arial"/>
      <w:szCs w:val="24"/>
    </w:rPr>
  </w:style>
  <w:style w:type="character" w:styleId="Strong">
    <w:name w:val="Strong"/>
    <w:basedOn w:val="DefaultParagraphFont"/>
    <w:uiPriority w:val="22"/>
    <w:qFormat/>
    <w:rsid w:val="001A189F"/>
    <w:rPr>
      <w:b/>
      <w:bCs/>
    </w:rPr>
  </w:style>
  <w:style w:type="character" w:styleId="Emphasis">
    <w:name w:val="Emphasis"/>
    <w:basedOn w:val="DefaultParagraphFont"/>
    <w:uiPriority w:val="20"/>
    <w:qFormat/>
    <w:rsid w:val="001A189F"/>
    <w:rPr>
      <w:i/>
      <w:iCs/>
    </w:rPr>
  </w:style>
  <w:style w:type="paragraph" w:customStyle="1" w:styleId="Table">
    <w:name w:val="Table"/>
    <w:basedOn w:val="Normal"/>
    <w:link w:val="TableChar"/>
    <w:autoRedefine/>
    <w:qFormat/>
    <w:rsid w:val="00654CF9"/>
    <w:pPr>
      <w:spacing w:after="0"/>
      <w:jc w:val="center"/>
    </w:pPr>
  </w:style>
  <w:style w:type="table" w:styleId="TableGrid">
    <w:name w:val="Table Grid"/>
    <w:basedOn w:val="TableNormal"/>
    <w:uiPriority w:val="59"/>
    <w:rsid w:val="00E729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Char">
    <w:name w:val="Table Char"/>
    <w:basedOn w:val="DefaultParagraphFont"/>
    <w:link w:val="Table"/>
    <w:rsid w:val="00654CF9"/>
    <w:rPr>
      <w:rFonts w:ascii="Arial" w:hAnsi="Arial"/>
      <w:szCs w:val="24"/>
    </w:rPr>
  </w:style>
  <w:style w:type="paragraph" w:styleId="NoSpacing">
    <w:name w:val="No Spacing"/>
    <w:uiPriority w:val="1"/>
    <w:qFormat/>
    <w:rsid w:val="00E7294E"/>
    <w:pPr>
      <w:ind w:left="288"/>
    </w:pPr>
    <w:rPr>
      <w:rFonts w:ascii="Arial" w:hAnsi="Arial"/>
      <w:szCs w:val="24"/>
    </w:rPr>
  </w:style>
  <w:style w:type="paragraph" w:styleId="ListParagraph">
    <w:name w:val="List Paragraph"/>
    <w:aliases w:val="Number"/>
    <w:basedOn w:val="Normal"/>
    <w:autoRedefine/>
    <w:uiPriority w:val="34"/>
    <w:qFormat/>
    <w:rsid w:val="00C30C0D"/>
    <w:pPr>
      <w:numPr>
        <w:numId w:val="17"/>
      </w:numPr>
      <w:spacing w:after="0"/>
      <w:ind w:left="432" w:hanging="432"/>
      <w:contextualSpacing/>
    </w:pPr>
  </w:style>
  <w:style w:type="character" w:styleId="Hyperlink">
    <w:name w:val="Hyperlink"/>
    <w:basedOn w:val="DefaultParagraphFont"/>
    <w:uiPriority w:val="99"/>
    <w:unhideWhenUsed/>
    <w:rsid w:val="00C642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2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0035A"/>
    <w:pPr>
      <w:spacing w:before="96" w:after="120" w:line="360" w:lineRule="atLeast"/>
    </w:pPr>
  </w:style>
  <w:style w:type="paragraph" w:customStyle="1" w:styleId="Default">
    <w:name w:val="Default"/>
    <w:rsid w:val="009536D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459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068">
                  <w:marLeft w:val="2928"/>
                  <w:marRight w:val="0"/>
                  <w:marTop w:val="672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7556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710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MoDOT</Company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degraw</dc:creator>
  <cp:lastModifiedBy>Keith Smith</cp:lastModifiedBy>
  <cp:revision>2</cp:revision>
  <cp:lastPrinted>2011-02-14T18:43:00Z</cp:lastPrinted>
  <dcterms:created xsi:type="dcterms:W3CDTF">2013-12-02T13:57:00Z</dcterms:created>
  <dcterms:modified xsi:type="dcterms:W3CDTF">2013-12-02T13:57:00Z</dcterms:modified>
</cp:coreProperties>
</file>