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6D61" w14:textId="2B849EC0" w:rsidR="008333E1" w:rsidRPr="00992EE4" w:rsidRDefault="008333E1" w:rsidP="008333E1">
      <w:pPr>
        <w:pStyle w:val="Heading1"/>
      </w:pPr>
      <w:r w:rsidRPr="00992EE4">
        <w:t>Supplemental Revisions</w:t>
      </w:r>
      <w:r w:rsidRPr="00992EE4">
        <w:rPr>
          <w:u w:val="none"/>
        </w:rPr>
        <w:t xml:space="preserve"> JSP-18-</w:t>
      </w:r>
      <w:r w:rsidR="002B01DE">
        <w:rPr>
          <w:u w:val="none"/>
        </w:rPr>
        <w:t>01A</w:t>
      </w:r>
      <w:r w:rsidR="00527A22">
        <w:rPr>
          <w:u w:val="none"/>
        </w:rPr>
        <w:t>B</w:t>
      </w:r>
    </w:p>
    <w:p w14:paraId="28760AFD" w14:textId="6B8A4DE9" w:rsidR="008333E1" w:rsidRDefault="008333E1" w:rsidP="008333E1"/>
    <w:p w14:paraId="64B3F697" w14:textId="77777777" w:rsidR="00ED07A2" w:rsidRDefault="424CECC4" w:rsidP="00ED07A2">
      <w:bookmarkStart w:id="0" w:name="_Hlk64372940"/>
      <w:r>
        <w:t xml:space="preserve">Compliance with </w:t>
      </w:r>
      <w:hyperlink r:id="rId11">
        <w:r w:rsidRPr="424CECC4">
          <w:rPr>
            <w:rStyle w:val="Hyperlink"/>
            <w:u w:val="none"/>
          </w:rPr>
          <w:t>2 CFR 200.216 – Prohibition on Certain Telecommunications and Video Surveillance Services or Equipment</w:t>
        </w:r>
      </w:hyperlink>
      <w:r>
        <w:t>.</w:t>
      </w:r>
    </w:p>
    <w:p w14:paraId="6707E19C" w14:textId="77777777" w:rsidR="00ED07A2" w:rsidRPr="005709D1" w:rsidRDefault="00ED07A2" w:rsidP="00ED07A2">
      <w:pPr>
        <w:rPr>
          <w:szCs w:val="22"/>
        </w:rPr>
      </w:pPr>
    </w:p>
    <w:p w14:paraId="33DBE01A" w14:textId="6F82539E" w:rsidR="00ED07A2" w:rsidRDefault="00ED07A2" w:rsidP="00ED07A2">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0"/>
    </w:p>
    <w:p w14:paraId="75CECF34" w14:textId="77777777" w:rsidR="00ED07A2" w:rsidRDefault="00ED07A2" w:rsidP="00ED07A2"/>
    <w:p w14:paraId="16DAD898" w14:textId="77777777" w:rsidR="00ED07A2" w:rsidRDefault="00ED07A2" w:rsidP="008333E1">
      <w:pPr>
        <w:rPr>
          <w:rFonts w:eastAsiaTheme="minorHAnsi"/>
        </w:rPr>
      </w:pPr>
    </w:p>
    <w:p w14:paraId="5390635A" w14:textId="1531140C" w:rsidR="008333E1" w:rsidRPr="00D7163A" w:rsidRDefault="008333E1" w:rsidP="008333E1">
      <w:pPr>
        <w:rPr>
          <w:rFonts w:eastAsiaTheme="minorEastAsia"/>
        </w:rPr>
      </w:pPr>
      <w:r w:rsidRPr="424CECC4">
        <w:rPr>
          <w:rFonts w:eastAsiaTheme="minorEastAsia"/>
        </w:rPr>
        <w:t>Stormwater Compliance Requirements</w:t>
      </w:r>
    </w:p>
    <w:p w14:paraId="65404C8F" w14:textId="77777777" w:rsidR="008333E1" w:rsidRPr="002D392D" w:rsidRDefault="008333E1" w:rsidP="008333E1">
      <w:pPr>
        <w:rPr>
          <w:rFonts w:eastAsiaTheme="minorHAnsi" w:cs="Arial"/>
          <w:szCs w:val="22"/>
        </w:rPr>
      </w:pPr>
    </w:p>
    <w:p w14:paraId="6EC5F41F" w14:textId="73AF5083" w:rsidR="008333E1" w:rsidRPr="002D392D" w:rsidRDefault="0089580D" w:rsidP="008333E1">
      <w:pPr>
        <w:tabs>
          <w:tab w:val="left" w:pos="450"/>
        </w:tabs>
        <w:rPr>
          <w:rFonts w:eastAsiaTheme="minorEastAsia" w:cs="Arial"/>
          <w:b/>
        </w:rPr>
      </w:pPr>
      <w:r>
        <w:rPr>
          <w:rFonts w:eastAsiaTheme="minorHAnsi" w:cs="Arial"/>
          <w:b/>
          <w:szCs w:val="22"/>
        </w:rPr>
        <w:t xml:space="preserve">1.0  </w:t>
      </w:r>
      <w:r w:rsidRPr="424CECC4">
        <w:rPr>
          <w:rFonts w:eastAsiaTheme="minorEastAsia" w:cs="Arial"/>
          <w:b/>
        </w:rPr>
        <w:t>Description</w:t>
      </w:r>
      <w:r w:rsidR="008333E1" w:rsidRPr="424CECC4">
        <w:rPr>
          <w:rFonts w:eastAsiaTheme="minorEastAsia" w:cs="Arial"/>
          <w:b/>
        </w:rPr>
        <w:t xml:space="preserve">.  </w:t>
      </w:r>
      <w:r w:rsidR="008333E1"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3B3331DD" w14:textId="77777777" w:rsidR="008333E1" w:rsidRPr="002D392D" w:rsidRDefault="008333E1" w:rsidP="008333E1">
      <w:pPr>
        <w:rPr>
          <w:rFonts w:eastAsiaTheme="minorHAnsi" w:cs="Arial"/>
          <w:szCs w:val="22"/>
        </w:rPr>
      </w:pPr>
    </w:p>
    <w:p w14:paraId="360CB4A4" w14:textId="0D1B8D69" w:rsidR="008333E1" w:rsidRDefault="0089580D" w:rsidP="008333E1">
      <w:pPr>
        <w:tabs>
          <w:tab w:val="left" w:pos="450"/>
        </w:tabs>
        <w:rPr>
          <w:rFonts w:eastAsiaTheme="minorEastAsia" w:cs="Arial"/>
        </w:rPr>
      </w:pPr>
      <w:r>
        <w:rPr>
          <w:rFonts w:eastAsiaTheme="minorHAnsi" w:cs="Arial"/>
          <w:b/>
          <w:szCs w:val="22"/>
        </w:rPr>
        <w:t xml:space="preserve">1.1  </w:t>
      </w:r>
      <w:r w:rsidRPr="424CECC4">
        <w:rPr>
          <w:rFonts w:eastAsiaTheme="minorEastAsia" w:cs="Arial"/>
          <w:b/>
        </w:rPr>
        <w:t>Definitions</w:t>
      </w:r>
      <w:r w:rsidR="008333E1" w:rsidRPr="424CECC4">
        <w:rPr>
          <w:rFonts w:eastAsiaTheme="minorEastAsia" w:cs="Arial"/>
          <w:b/>
        </w:rPr>
        <w:t xml:space="preserve">.  </w:t>
      </w:r>
      <w:r w:rsidR="008333E1"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207ACAC0" w14:textId="77777777" w:rsidR="008333E1" w:rsidRDefault="008333E1" w:rsidP="008333E1">
      <w:pPr>
        <w:tabs>
          <w:tab w:val="left" w:pos="450"/>
        </w:tabs>
        <w:rPr>
          <w:rFonts w:eastAsiaTheme="minorHAnsi" w:cs="Arial"/>
          <w:szCs w:val="22"/>
        </w:rPr>
      </w:pPr>
    </w:p>
    <w:p w14:paraId="21C0F30E" w14:textId="08278ED3" w:rsidR="008333E1" w:rsidRPr="00141B08" w:rsidRDefault="0089580D" w:rsidP="008333E1">
      <w:pPr>
        <w:tabs>
          <w:tab w:val="left" w:pos="450"/>
        </w:tabs>
        <w:rPr>
          <w:rFonts w:eastAsiaTheme="minorEastAsia" w:cs="Arial"/>
        </w:rPr>
      </w:pPr>
      <w:r>
        <w:rPr>
          <w:rFonts w:eastAsiaTheme="minorHAnsi" w:cs="Arial"/>
          <w:b/>
          <w:szCs w:val="22"/>
        </w:rPr>
        <w:t xml:space="preserve">1.2  </w:t>
      </w:r>
      <w:r w:rsidRPr="424CECC4">
        <w:rPr>
          <w:rFonts w:eastAsiaTheme="minorEastAsia" w:cs="Arial"/>
          <w:b/>
        </w:rPr>
        <w:t>Reporting</w:t>
      </w:r>
      <w:r w:rsidR="008333E1" w:rsidRPr="424CECC4">
        <w:rPr>
          <w:rFonts w:eastAsiaTheme="minorEastAsia" w:cs="Arial"/>
          <w:b/>
        </w:rPr>
        <w:t xml:space="preserve"> of Off-Site Land Disturbance.</w:t>
      </w:r>
      <w:r w:rsidR="008333E1"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008333E1"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0239289F" w14:textId="77777777" w:rsidR="008333E1" w:rsidRPr="002D392D" w:rsidRDefault="008333E1" w:rsidP="008333E1">
      <w:pPr>
        <w:rPr>
          <w:rFonts w:eastAsiaTheme="minorHAnsi" w:cs="Arial"/>
          <w:szCs w:val="22"/>
        </w:rPr>
      </w:pPr>
    </w:p>
    <w:p w14:paraId="65D808A4" w14:textId="2CCFD947" w:rsidR="008333E1" w:rsidRPr="002D392D" w:rsidRDefault="0089580D" w:rsidP="008333E1">
      <w:pPr>
        <w:tabs>
          <w:tab w:val="left" w:pos="450"/>
        </w:tabs>
        <w:rPr>
          <w:rFonts w:eastAsiaTheme="minorEastAsia" w:cs="Arial"/>
        </w:rPr>
      </w:pPr>
      <w:r>
        <w:rPr>
          <w:rFonts w:eastAsiaTheme="minorEastAsia" w:cs="Arial"/>
          <w:b/>
        </w:rPr>
        <w:t xml:space="preserve">2.0  </w:t>
      </w:r>
      <w:r w:rsidRPr="424CECC4">
        <w:rPr>
          <w:rFonts w:eastAsiaTheme="minorEastAsia" w:cs="Arial"/>
          <w:b/>
        </w:rPr>
        <w:t>Water</w:t>
      </w:r>
      <w:r w:rsidR="008333E1" w:rsidRPr="424CECC4">
        <w:rPr>
          <w:rFonts w:eastAsiaTheme="minorEastAsia" w:cs="Arial"/>
          <w:b/>
        </w:rPr>
        <w:t xml:space="preserve"> Pollution Control Manager (WPCM).</w:t>
      </w:r>
      <w:r w:rsidR="008333E1"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2BD07437" w14:textId="77777777" w:rsidR="008333E1" w:rsidRPr="002D392D" w:rsidRDefault="008333E1" w:rsidP="008333E1">
      <w:pPr>
        <w:tabs>
          <w:tab w:val="left" w:pos="450"/>
        </w:tabs>
        <w:rPr>
          <w:rFonts w:eastAsiaTheme="minorHAnsi" w:cs="Arial"/>
          <w:szCs w:val="22"/>
        </w:rPr>
      </w:pPr>
    </w:p>
    <w:p w14:paraId="77073D64" w14:textId="77777777" w:rsidR="008333E1" w:rsidRPr="002D392D" w:rsidRDefault="008333E1" w:rsidP="008333E1">
      <w:pPr>
        <w:rPr>
          <w:rFonts w:eastAsiaTheme="minorEastAsia" w:cs="Arial"/>
        </w:rPr>
      </w:pPr>
      <w:r w:rsidRPr="424CECC4">
        <w:rPr>
          <w:rFonts w:eastAsiaTheme="minorEastAsia" w:cs="Arial"/>
          <w:b/>
        </w:rPr>
        <w:t>2.1  Duties of the WPCM</w:t>
      </w:r>
      <w:r w:rsidRPr="424CECC4">
        <w:rPr>
          <w:rFonts w:eastAsiaTheme="minorEastAsia" w:cs="Arial"/>
        </w:rPr>
        <w:t>:</w:t>
      </w:r>
    </w:p>
    <w:p w14:paraId="6BCB163E" w14:textId="77777777" w:rsidR="008333E1" w:rsidRPr="002D392D" w:rsidRDefault="008333E1" w:rsidP="008333E1">
      <w:pPr>
        <w:rPr>
          <w:rFonts w:eastAsiaTheme="minorHAnsi" w:cs="Arial"/>
          <w:szCs w:val="22"/>
        </w:rPr>
      </w:pPr>
    </w:p>
    <w:p w14:paraId="69213E89" w14:textId="10AC953C"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w:t>
      </w:r>
      <w:r w:rsidRPr="424CECC4">
        <w:rPr>
          <w:rFonts w:eastAsiaTheme="minorEastAsia" w:cs="Arial"/>
        </w:rPr>
        <w:lastRenderedPageBreak/>
        <w:t xml:space="preserve">Erosion &amp; Sediment Control Plan; all applicable special provisions, specifications, and standard drawings; and this </w:t>
      </w:r>
      <w:proofErr w:type="gramStart"/>
      <w:r w:rsidRPr="424CECC4">
        <w:rPr>
          <w:rFonts w:eastAsiaTheme="minorEastAsia" w:cs="Arial"/>
        </w:rPr>
        <w:t>provision;</w:t>
      </w:r>
      <w:proofErr w:type="gramEnd"/>
      <w:r w:rsidRPr="424CECC4">
        <w:rPr>
          <w:rFonts w:eastAsiaTheme="minorEastAsia" w:cs="Arial"/>
        </w:rPr>
        <w:t xml:space="preserve"> </w:t>
      </w:r>
    </w:p>
    <w:p w14:paraId="3B68EAE8" w14:textId="77777777" w:rsidR="008333E1" w:rsidRPr="002D392D" w:rsidRDefault="008333E1" w:rsidP="008333E1">
      <w:pPr>
        <w:tabs>
          <w:tab w:val="left" w:pos="720"/>
        </w:tabs>
        <w:ind w:left="720" w:hanging="360"/>
        <w:contextualSpacing/>
        <w:rPr>
          <w:rFonts w:eastAsiaTheme="minorHAnsi" w:cs="Arial"/>
          <w:szCs w:val="22"/>
        </w:rPr>
      </w:pPr>
    </w:p>
    <w:p w14:paraId="430897A7" w14:textId="77777777"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w:t>
      </w:r>
      <w:proofErr w:type="gramStart"/>
      <w:r w:rsidRPr="424CECC4">
        <w:rPr>
          <w:rFonts w:eastAsiaTheme="minorEastAsia" w:cs="Arial"/>
        </w:rPr>
        <w:t>MoDOT.org;</w:t>
      </w:r>
      <w:proofErr w:type="gramEnd"/>
      <w:r w:rsidRPr="424CECC4">
        <w:rPr>
          <w:rFonts w:eastAsiaTheme="minorEastAsia" w:cs="Arial"/>
        </w:rPr>
        <w:t xml:space="preserve">  </w:t>
      </w:r>
    </w:p>
    <w:p w14:paraId="3BAEC58C" w14:textId="77777777" w:rsidR="008333E1" w:rsidRPr="002D392D" w:rsidRDefault="008333E1" w:rsidP="008333E1">
      <w:pPr>
        <w:tabs>
          <w:tab w:val="left" w:pos="720"/>
        </w:tabs>
        <w:ind w:left="720" w:hanging="360"/>
        <w:contextualSpacing/>
        <w:rPr>
          <w:rFonts w:eastAsiaTheme="minorHAnsi" w:cs="Arial"/>
          <w:szCs w:val="22"/>
        </w:rPr>
      </w:pPr>
    </w:p>
    <w:p w14:paraId="3ADD6A92" w14:textId="77777777"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Attend the Pre-Activity Meeting for Grading and Land Disturbance and all subsequent Weekly Meetings in which grading activities are </w:t>
      </w:r>
      <w:proofErr w:type="gramStart"/>
      <w:r w:rsidRPr="424CECC4">
        <w:rPr>
          <w:rFonts w:eastAsiaTheme="minorEastAsia" w:cs="Arial"/>
        </w:rPr>
        <w:t>discussed;</w:t>
      </w:r>
      <w:proofErr w:type="gramEnd"/>
    </w:p>
    <w:p w14:paraId="5B4E2D4B" w14:textId="77777777" w:rsidR="008333E1" w:rsidRPr="002D392D" w:rsidRDefault="008333E1" w:rsidP="008333E1">
      <w:pPr>
        <w:tabs>
          <w:tab w:val="left" w:pos="720"/>
        </w:tabs>
        <w:ind w:left="720" w:hanging="360"/>
        <w:contextualSpacing/>
        <w:rPr>
          <w:rFonts w:eastAsiaTheme="minorHAnsi" w:cs="Arial"/>
          <w:szCs w:val="22"/>
        </w:rPr>
      </w:pPr>
    </w:p>
    <w:p w14:paraId="612C704F" w14:textId="3EAC7ECC"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proofErr w:type="gramStart"/>
      <w:r w:rsidR="0013602D">
        <w:rPr>
          <w:rFonts w:eastAsiaTheme="minorEastAsia" w:cs="Arial"/>
        </w:rPr>
        <w:t>e</w:t>
      </w:r>
      <w:r w:rsidRPr="424CECC4">
        <w:rPr>
          <w:rFonts w:eastAsiaTheme="minorEastAsia" w:cs="Arial"/>
        </w:rPr>
        <w:t>ngineer;</w:t>
      </w:r>
      <w:proofErr w:type="gramEnd"/>
    </w:p>
    <w:p w14:paraId="00DD6D48" w14:textId="77777777" w:rsidR="008333E1" w:rsidRPr="002D392D" w:rsidRDefault="008333E1" w:rsidP="008333E1">
      <w:pPr>
        <w:tabs>
          <w:tab w:val="left" w:pos="720"/>
        </w:tabs>
        <w:ind w:left="720" w:hanging="360"/>
        <w:contextualSpacing/>
        <w:rPr>
          <w:rFonts w:eastAsiaTheme="minorHAnsi" w:cs="Arial"/>
          <w:szCs w:val="22"/>
        </w:rPr>
      </w:pPr>
    </w:p>
    <w:p w14:paraId="49B609D2" w14:textId="77777777"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424CECC4">
        <w:rPr>
          <w:rFonts w:eastAsiaTheme="minorEastAsia" w:cs="Arial"/>
        </w:rPr>
        <w:t>inspections;</w:t>
      </w:r>
      <w:proofErr w:type="gramEnd"/>
    </w:p>
    <w:p w14:paraId="67A38CA3" w14:textId="77777777" w:rsidR="008333E1" w:rsidRPr="002D392D" w:rsidRDefault="008333E1" w:rsidP="008333E1">
      <w:pPr>
        <w:tabs>
          <w:tab w:val="left" w:pos="720"/>
        </w:tabs>
        <w:ind w:left="720" w:hanging="360"/>
        <w:contextualSpacing/>
        <w:rPr>
          <w:rFonts w:eastAsiaTheme="minorHAnsi" w:cs="Arial"/>
          <w:szCs w:val="22"/>
        </w:rPr>
      </w:pPr>
    </w:p>
    <w:p w14:paraId="08573C3C" w14:textId="77777777" w:rsidR="008333E1" w:rsidRPr="002D392D" w:rsidRDefault="008333E1" w:rsidP="00B24B8F">
      <w:pPr>
        <w:numPr>
          <w:ilvl w:val="0"/>
          <w:numId w:val="2"/>
        </w:numPr>
        <w:tabs>
          <w:tab w:val="left" w:pos="720"/>
        </w:tabs>
        <w:ind w:left="720"/>
        <w:contextualSpacing/>
        <w:rPr>
          <w:rFonts w:eastAsiaTheme="minorEastAsia" w:cs="Arial"/>
        </w:rPr>
      </w:pPr>
      <w:r w:rsidRPr="424CECC4">
        <w:rPr>
          <w:rFonts w:eastAsiaTheme="minorEastAsia" w:cs="Arial"/>
        </w:rPr>
        <w:t xml:space="preserve">Review and acknowledge receipt of each MoDOT Inspection Report (Land Disturbance Inspection Record) for the Project within </w:t>
      </w:r>
      <w:proofErr w:type="gramStart"/>
      <w:r w:rsidRPr="424CECC4">
        <w:rPr>
          <w:rFonts w:eastAsiaTheme="minorEastAsia" w:cs="Arial"/>
        </w:rPr>
        <w:t>forty eight</w:t>
      </w:r>
      <w:proofErr w:type="gramEnd"/>
      <w:r w:rsidRPr="424CECC4">
        <w:rPr>
          <w:rFonts w:eastAsiaTheme="minorEastAsia" w:cs="Arial"/>
        </w:rPr>
        <w:t xml:space="preserve"> (48) hours of receiving the report and ensure that all Stormwater Deficiencies noted on the report are corrected as soon as possible, but no later than stated in Section 5.0.</w:t>
      </w:r>
    </w:p>
    <w:p w14:paraId="15AE764F" w14:textId="77777777" w:rsidR="008333E1" w:rsidRPr="002D392D" w:rsidRDefault="008333E1" w:rsidP="008333E1">
      <w:pPr>
        <w:tabs>
          <w:tab w:val="left" w:pos="1080"/>
        </w:tabs>
        <w:rPr>
          <w:rFonts w:eastAsiaTheme="minorHAnsi" w:cs="Arial"/>
          <w:szCs w:val="22"/>
        </w:rPr>
      </w:pPr>
    </w:p>
    <w:p w14:paraId="60FD6421" w14:textId="6026A796" w:rsidR="008333E1" w:rsidRPr="002D392D" w:rsidRDefault="008333E1" w:rsidP="008333E1">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424CECC4">
        <w:rPr>
          <w:rFonts w:eastAsiaTheme="minorEastAsia" w:cs="Arial"/>
        </w:rPr>
        <w:t>in the course of</w:t>
      </w:r>
      <w:proofErr w:type="gramEnd"/>
      <w:r w:rsidRPr="424CECC4">
        <w:rPr>
          <w:rFonts w:eastAsiaTheme="minorEastAsia" w:cs="Arial"/>
        </w:rPr>
        <w:t xml:space="preserve"> construction activity at the project.</w:t>
      </w:r>
    </w:p>
    <w:p w14:paraId="73F71F00" w14:textId="77777777" w:rsidR="008333E1" w:rsidRPr="002D392D" w:rsidRDefault="008333E1" w:rsidP="008333E1">
      <w:pPr>
        <w:rPr>
          <w:rFonts w:eastAsiaTheme="minorHAnsi" w:cstheme="minorBidi"/>
          <w:szCs w:val="22"/>
        </w:rPr>
      </w:pPr>
    </w:p>
    <w:p w14:paraId="6A6D3B1C" w14:textId="02C2EF6E" w:rsidR="008333E1" w:rsidRPr="002D392D" w:rsidRDefault="008333E1" w:rsidP="008333E1">
      <w:pPr>
        <w:rPr>
          <w:rFonts w:eastAsiaTheme="minorEastAsia" w:cs="Arial"/>
        </w:rPr>
      </w:pPr>
      <w:r w:rsidRPr="424CECC4">
        <w:rPr>
          <w:rFonts w:eastAsiaTheme="minorEastAsia" w:cs="Arial"/>
          <w:b/>
        </w:rPr>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7B81819A" w14:textId="77777777" w:rsidR="008333E1" w:rsidRPr="002D392D" w:rsidRDefault="008333E1" w:rsidP="008333E1">
      <w:pPr>
        <w:rPr>
          <w:rFonts w:eastAsiaTheme="minorHAnsi" w:cstheme="minorBidi"/>
          <w:szCs w:val="22"/>
        </w:rPr>
      </w:pPr>
    </w:p>
    <w:p w14:paraId="3255E862" w14:textId="77777777" w:rsidR="008333E1" w:rsidRPr="002D392D" w:rsidRDefault="008333E1" w:rsidP="008333E1">
      <w:pPr>
        <w:rPr>
          <w:rFonts w:eastAsiaTheme="minorEastAsia" w:cs="Arial"/>
        </w:rPr>
      </w:pPr>
      <w:r w:rsidRPr="424CECC4">
        <w:rPr>
          <w:rFonts w:eastAsiaTheme="minorEastAsia" w:cs="Arial"/>
          <w:b/>
        </w:rPr>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24C0BFC2" w14:textId="77777777" w:rsidR="008333E1" w:rsidRPr="002D392D" w:rsidRDefault="008333E1" w:rsidP="008333E1">
      <w:pPr>
        <w:rPr>
          <w:rFonts w:eastAsiaTheme="minorHAnsi" w:cs="Arial"/>
          <w:szCs w:val="22"/>
        </w:rPr>
      </w:pPr>
    </w:p>
    <w:p w14:paraId="11894C3F" w14:textId="77777777" w:rsidR="008333E1" w:rsidRPr="002D392D" w:rsidRDefault="008333E1" w:rsidP="008333E1">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5B3ECD66" w14:textId="77777777" w:rsidR="008333E1" w:rsidRPr="002D392D" w:rsidRDefault="008333E1" w:rsidP="008333E1">
      <w:pPr>
        <w:rPr>
          <w:rFonts w:eastAsiaTheme="minorHAnsi" w:cs="Arial"/>
          <w:szCs w:val="22"/>
        </w:rPr>
      </w:pPr>
    </w:p>
    <w:p w14:paraId="135AAAF5" w14:textId="11D3D362" w:rsidR="008333E1" w:rsidRPr="002D392D" w:rsidRDefault="008333E1" w:rsidP="008333E1">
      <w:pPr>
        <w:rPr>
          <w:rFonts w:eastAsiaTheme="minorEastAsia" w:cs="Arial"/>
        </w:rPr>
      </w:pPr>
      <w:r w:rsidRPr="424CECC4">
        <w:rPr>
          <w:rFonts w:eastAsiaTheme="minorEastAsia" w:cs="Arial"/>
          <w:b/>
        </w:rPr>
        <w:lastRenderedPageBreak/>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w:t>
      </w:r>
      <w:r w:rsidR="008F1345" w:rsidRPr="424CECC4">
        <w:rPr>
          <w:rFonts w:eastAsiaTheme="minorEastAsia" w:cs="Arial"/>
        </w:rPr>
        <w:t>,</w:t>
      </w:r>
      <w:r w:rsidRPr="424CECC4">
        <w:rPr>
          <w:rFonts w:eastAsiaTheme="minorEastAsia" w:cs="Arial"/>
        </w:rPr>
        <w:t xml:space="preserve">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185D37DF" w14:textId="77777777" w:rsidR="008333E1" w:rsidRPr="002D392D" w:rsidRDefault="008333E1" w:rsidP="008333E1">
      <w:pPr>
        <w:rPr>
          <w:rFonts w:eastAsiaTheme="minorHAnsi" w:cs="Arial"/>
          <w:szCs w:val="22"/>
        </w:rPr>
      </w:pPr>
    </w:p>
    <w:p w14:paraId="4B3528B3" w14:textId="77777777" w:rsidR="008333E1" w:rsidRDefault="008333E1" w:rsidP="008333E1">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516727D4" w14:textId="77777777" w:rsidR="008333E1" w:rsidRDefault="008333E1" w:rsidP="008333E1">
      <w:pPr>
        <w:rPr>
          <w:rFonts w:eastAsiaTheme="minorHAnsi" w:cs="Arial"/>
          <w:szCs w:val="22"/>
        </w:rPr>
      </w:pPr>
    </w:p>
    <w:p w14:paraId="7D6FD0D2" w14:textId="77777777" w:rsidR="008333E1" w:rsidRDefault="008333E1" w:rsidP="008333E1">
      <w:pPr>
        <w:rPr>
          <w:rFonts w:eastAsiaTheme="minorHAnsi"/>
        </w:rPr>
      </w:pPr>
    </w:p>
    <w:p w14:paraId="648F51F9" w14:textId="77777777" w:rsidR="00643314" w:rsidRDefault="00643314" w:rsidP="00643314">
      <w:r w:rsidRPr="00010AF9">
        <w:t>Anti-Discrimination Against Israel Certification</w:t>
      </w:r>
    </w:p>
    <w:p w14:paraId="6948AE4C" w14:textId="77777777" w:rsidR="00643314" w:rsidRPr="00C63124" w:rsidRDefault="00643314" w:rsidP="00643314">
      <w:pPr>
        <w:pStyle w:val="BodyText"/>
        <w:rPr>
          <w:rFonts w:cs="Arial"/>
          <w:sz w:val="22"/>
          <w:szCs w:val="22"/>
        </w:rPr>
      </w:pPr>
    </w:p>
    <w:p w14:paraId="7E0BC393" w14:textId="21A1F18A" w:rsidR="004C1B5A" w:rsidRDefault="00643314" w:rsidP="004C1B5A">
      <w:pPr>
        <w:rPr>
          <w:rFonts w:cs="Arial"/>
        </w:rPr>
      </w:pPr>
      <w:r>
        <w:rPr>
          <w:rFonts w:cs="Arial"/>
        </w:rPr>
        <w:t>By signing this contract</w:t>
      </w:r>
      <w:r w:rsidR="00F1616C">
        <w:rPr>
          <w:rFonts w:cs="Arial"/>
        </w:rPr>
        <w:t>,</w:t>
      </w:r>
      <w:r>
        <w:rPr>
          <w:rFonts w:cs="Arial"/>
        </w:rPr>
        <w:t xml:space="preserve">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w:t>
      </w:r>
      <w:r w:rsidR="007B0D08">
        <w:rPr>
          <w:rFonts w:cs="Arial"/>
        </w:rPr>
        <w:t xml:space="preserve"> </w:t>
      </w:r>
      <w:r>
        <w:rPr>
          <w:rFonts w:cs="Arial"/>
        </w:rPr>
        <w:t xml:space="preserve"> This certification shall not apply to contracts with a total potential value of less than One Hundred Thousand Dollars ($100,000) or to contractors with fewer than ten (10) employees.</w:t>
      </w:r>
    </w:p>
    <w:p w14:paraId="1D8F181C" w14:textId="77777777" w:rsidR="00261098" w:rsidRDefault="00261098" w:rsidP="004C1B5A">
      <w:pPr>
        <w:rPr>
          <w:rFonts w:cs="Arial"/>
        </w:rPr>
      </w:pPr>
    </w:p>
    <w:p w14:paraId="11C9B6F2" w14:textId="027C2534" w:rsidR="00440C35" w:rsidRDefault="00440C35" w:rsidP="004C1B5A">
      <w:pPr>
        <w:rPr>
          <w:rFonts w:cs="Arial"/>
        </w:rPr>
      </w:pPr>
    </w:p>
    <w:p w14:paraId="6BE63B8B" w14:textId="77777777" w:rsidR="00440C35" w:rsidRDefault="00440C35" w:rsidP="00440C35">
      <w:r>
        <w:t>Ground Tire Rubber (GTR) Dry Process Modification of</w:t>
      </w:r>
      <w:r w:rsidRPr="00756830">
        <w:t xml:space="preserve"> Bituminous Pavement Material</w:t>
      </w:r>
    </w:p>
    <w:p w14:paraId="6FABF3B6" w14:textId="7A873935" w:rsidR="00440C35" w:rsidRDefault="00440C35" w:rsidP="004C1B5A"/>
    <w:p w14:paraId="483A2B1C" w14:textId="08D7F51C" w:rsidR="00440C35" w:rsidRPr="00F6576E" w:rsidRDefault="007B4113" w:rsidP="00547BF2">
      <w:pPr>
        <w:pStyle w:val="ListParagraph"/>
        <w:ind w:left="0"/>
        <w:rPr>
          <w:rFonts w:cs="Arial"/>
          <w:szCs w:val="22"/>
        </w:rPr>
      </w:pPr>
      <w:r w:rsidRPr="00F6576E">
        <w:rPr>
          <w:rFonts w:cs="Arial"/>
          <w:b/>
          <w:szCs w:val="22"/>
        </w:rPr>
        <w:t xml:space="preserve">1.0  </w:t>
      </w:r>
      <w:r w:rsidR="00440C35" w:rsidRPr="00F6576E">
        <w:rPr>
          <w:rFonts w:cs="Arial"/>
          <w:b/>
          <w:szCs w:val="22"/>
        </w:rPr>
        <w:t>Description.</w:t>
      </w:r>
      <w:r w:rsidR="00440C35"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7A949BCC" w14:textId="77777777" w:rsidR="00440C35" w:rsidRPr="00547BF2" w:rsidRDefault="00440C35" w:rsidP="001762AF"/>
    <w:p w14:paraId="3229DE04" w14:textId="6A6BE7DA" w:rsidR="00440C35" w:rsidRPr="001C648E" w:rsidRDefault="007B4113" w:rsidP="00547BF2">
      <w:pPr>
        <w:pStyle w:val="ListParagraph"/>
        <w:ind w:left="0"/>
        <w:rPr>
          <w:rFonts w:cs="Arial"/>
          <w:szCs w:val="22"/>
        </w:rPr>
      </w:pPr>
      <w:r w:rsidRPr="001C648E">
        <w:rPr>
          <w:rFonts w:cs="Arial"/>
          <w:b/>
          <w:szCs w:val="22"/>
        </w:rPr>
        <w:t xml:space="preserve">2.0  </w:t>
      </w:r>
      <w:r w:rsidR="00440C35" w:rsidRPr="001C648E">
        <w:rPr>
          <w:rFonts w:cs="Arial"/>
          <w:b/>
          <w:szCs w:val="22"/>
        </w:rPr>
        <w:t>Materials</w:t>
      </w:r>
      <w:r w:rsidR="00440C35"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0B371181" w14:textId="77777777" w:rsidR="00440C35" w:rsidRPr="001C648E" w:rsidRDefault="00440C35" w:rsidP="00547BF2">
      <w:pPr>
        <w:pStyle w:val="ListParagraph"/>
        <w:ind w:left="0"/>
        <w:rPr>
          <w:rFonts w:cs="Arial"/>
          <w:szCs w:val="22"/>
        </w:rPr>
      </w:pPr>
    </w:p>
    <w:p w14:paraId="5AA7315E" w14:textId="5CBC0BE7" w:rsidR="00440C35" w:rsidRPr="001C648E" w:rsidRDefault="007B4113" w:rsidP="00547BF2">
      <w:pPr>
        <w:pStyle w:val="ListParagraph"/>
        <w:ind w:left="0"/>
        <w:rPr>
          <w:rFonts w:cs="Arial"/>
          <w:szCs w:val="22"/>
        </w:rPr>
      </w:pPr>
      <w:r w:rsidRPr="001C648E">
        <w:rPr>
          <w:rFonts w:cs="Arial"/>
          <w:b/>
          <w:bCs/>
          <w:szCs w:val="22"/>
        </w:rPr>
        <w:t xml:space="preserve">2.1  </w:t>
      </w:r>
      <w:r w:rsidR="00440C35" w:rsidRPr="001C648E">
        <w:rPr>
          <w:rFonts w:cs="Arial"/>
          <w:b/>
          <w:bCs/>
          <w:szCs w:val="22"/>
        </w:rPr>
        <w:t>Product Approval.</w:t>
      </w:r>
      <w:r w:rsidR="00440C35"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w:t>
      </w:r>
      <w:r w:rsidR="006E76BE" w:rsidRPr="001C648E">
        <w:rPr>
          <w:rFonts w:cs="Arial"/>
          <w:szCs w:val="22"/>
        </w:rPr>
        <w:t xml:space="preserve"> </w:t>
      </w:r>
      <w:r w:rsidR="00440C35" w:rsidRPr="001C648E">
        <w:rPr>
          <w:rFonts w:cs="Arial"/>
          <w:szCs w:val="22"/>
          <w:shd w:val="clear" w:color="auto" w:fill="FFFFFF"/>
        </w:rPr>
        <w:t xml:space="preserve">five-year field performance history in other states or performance on a federal or state-sanctioned accelerated loading facility. </w:t>
      </w:r>
    </w:p>
    <w:p w14:paraId="5B1DC321" w14:textId="77777777" w:rsidR="00440C35" w:rsidRPr="001C648E" w:rsidRDefault="00440C35" w:rsidP="00547BF2">
      <w:pPr>
        <w:pStyle w:val="ListParagraph"/>
        <w:ind w:left="0"/>
        <w:rPr>
          <w:rFonts w:cs="Arial"/>
          <w:szCs w:val="22"/>
        </w:rPr>
      </w:pPr>
    </w:p>
    <w:p w14:paraId="1FD3BCFB" w14:textId="3C02AD3A" w:rsidR="00440C35" w:rsidRPr="001C648E" w:rsidRDefault="007B4113" w:rsidP="00547BF2">
      <w:pPr>
        <w:pStyle w:val="ListParagraph"/>
        <w:tabs>
          <w:tab w:val="left" w:pos="450"/>
        </w:tabs>
        <w:ind w:left="0"/>
        <w:rPr>
          <w:rFonts w:cs="Arial"/>
          <w:szCs w:val="22"/>
        </w:rPr>
      </w:pPr>
      <w:r w:rsidRPr="001C648E">
        <w:rPr>
          <w:rFonts w:cs="Arial"/>
          <w:b/>
          <w:szCs w:val="22"/>
        </w:rPr>
        <w:t xml:space="preserve">2.2  </w:t>
      </w:r>
      <w:r w:rsidR="00440C35" w:rsidRPr="001C648E">
        <w:rPr>
          <w:rFonts w:cs="Arial"/>
          <w:b/>
          <w:szCs w:val="22"/>
        </w:rPr>
        <w:t>General.</w:t>
      </w:r>
      <w:r w:rsidR="00440C35"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00440C35" w:rsidRPr="001C648E">
        <w:rPr>
          <w:szCs w:val="22"/>
        </w:rPr>
        <w:t xml:space="preserve"> </w:t>
      </w:r>
    </w:p>
    <w:p w14:paraId="1905A38E" w14:textId="77777777" w:rsidR="00440C35" w:rsidRPr="00C915B5" w:rsidRDefault="00440C35" w:rsidP="00440C35">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440C35" w14:paraId="704A6081" w14:textId="77777777" w:rsidTr="00AB2715">
        <w:trPr>
          <w:trHeight w:val="332"/>
          <w:jc w:val="center"/>
        </w:trPr>
        <w:tc>
          <w:tcPr>
            <w:tcW w:w="7976" w:type="dxa"/>
            <w:gridSpan w:val="3"/>
            <w:vAlign w:val="center"/>
          </w:tcPr>
          <w:p w14:paraId="0860452C" w14:textId="77777777" w:rsidR="00440C35" w:rsidRPr="001C648E" w:rsidRDefault="00440C35" w:rsidP="00AB2715">
            <w:pPr>
              <w:pStyle w:val="ListParagraph"/>
              <w:keepNext/>
              <w:keepLines/>
              <w:ind w:left="0"/>
              <w:jc w:val="center"/>
              <w:rPr>
                <w:rFonts w:cs="Arial"/>
                <w:b/>
                <w:szCs w:val="22"/>
              </w:rPr>
            </w:pPr>
            <w:r w:rsidRPr="001C648E">
              <w:rPr>
                <w:rFonts w:cs="Arial"/>
                <w:b/>
                <w:szCs w:val="22"/>
              </w:rPr>
              <w:lastRenderedPageBreak/>
              <w:t>Table 1 – GTR Material Properties</w:t>
            </w:r>
          </w:p>
        </w:tc>
      </w:tr>
      <w:tr w:rsidR="00440C35" w14:paraId="77ED92E7" w14:textId="77777777" w:rsidTr="00AB2715">
        <w:trPr>
          <w:trHeight w:val="357"/>
          <w:jc w:val="center"/>
        </w:trPr>
        <w:tc>
          <w:tcPr>
            <w:tcW w:w="2908" w:type="dxa"/>
            <w:vAlign w:val="center"/>
          </w:tcPr>
          <w:p w14:paraId="7065258E" w14:textId="77777777" w:rsidR="00440C35" w:rsidRPr="00693DC1" w:rsidRDefault="00440C35" w:rsidP="00AB2715">
            <w:pPr>
              <w:pStyle w:val="ListParagraph"/>
              <w:keepNext/>
              <w:keepLines/>
              <w:ind w:left="0"/>
              <w:jc w:val="center"/>
              <w:rPr>
                <w:rFonts w:cs="Arial"/>
                <w:b/>
              </w:rPr>
            </w:pPr>
            <w:r w:rsidRPr="00693DC1">
              <w:rPr>
                <w:rFonts w:cs="Arial"/>
                <w:b/>
              </w:rPr>
              <w:t>Property</w:t>
            </w:r>
          </w:p>
        </w:tc>
        <w:tc>
          <w:tcPr>
            <w:tcW w:w="1626" w:type="dxa"/>
            <w:vAlign w:val="center"/>
          </w:tcPr>
          <w:p w14:paraId="735E999E" w14:textId="77777777" w:rsidR="00440C35" w:rsidRPr="001C648E" w:rsidRDefault="00440C35" w:rsidP="00AB2715">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0F3824EF" w14:textId="77777777" w:rsidR="00440C35" w:rsidRPr="001C648E" w:rsidRDefault="00440C35" w:rsidP="00AB2715">
            <w:pPr>
              <w:pStyle w:val="ListParagraph"/>
              <w:keepNext/>
              <w:keepLines/>
              <w:ind w:left="0"/>
              <w:jc w:val="center"/>
              <w:rPr>
                <w:rFonts w:cs="Arial"/>
                <w:b/>
                <w:szCs w:val="22"/>
              </w:rPr>
            </w:pPr>
            <w:r w:rsidRPr="001C648E">
              <w:rPr>
                <w:rFonts w:cs="Arial"/>
                <w:b/>
                <w:szCs w:val="22"/>
              </w:rPr>
              <w:t>Criteria</w:t>
            </w:r>
          </w:p>
        </w:tc>
      </w:tr>
      <w:tr w:rsidR="00440C35" w14:paraId="0907C1A6" w14:textId="77777777" w:rsidTr="00AB2715">
        <w:trPr>
          <w:trHeight w:val="413"/>
          <w:jc w:val="center"/>
        </w:trPr>
        <w:tc>
          <w:tcPr>
            <w:tcW w:w="2908" w:type="dxa"/>
            <w:vAlign w:val="center"/>
          </w:tcPr>
          <w:p w14:paraId="70299CF4" w14:textId="77777777" w:rsidR="00440C35" w:rsidRPr="001C648E" w:rsidRDefault="00440C35" w:rsidP="00AB2715">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0777325B" w14:textId="77777777" w:rsidR="00440C35" w:rsidRPr="001C648E" w:rsidRDefault="00440C35" w:rsidP="00AB2715">
            <w:pPr>
              <w:pStyle w:val="ListParagraph"/>
              <w:keepNext/>
              <w:keepLines/>
              <w:ind w:left="0"/>
              <w:jc w:val="center"/>
              <w:rPr>
                <w:rFonts w:cs="Arial"/>
                <w:szCs w:val="22"/>
              </w:rPr>
            </w:pPr>
            <w:r w:rsidRPr="001C648E">
              <w:rPr>
                <w:rFonts w:cs="Arial"/>
                <w:szCs w:val="22"/>
              </w:rPr>
              <w:t>ASTM D1817</w:t>
            </w:r>
          </w:p>
        </w:tc>
        <w:tc>
          <w:tcPr>
            <w:tcW w:w="3442" w:type="dxa"/>
            <w:vAlign w:val="center"/>
          </w:tcPr>
          <w:p w14:paraId="02D38E53" w14:textId="77777777" w:rsidR="00440C35" w:rsidRPr="001C648E" w:rsidRDefault="00440C35" w:rsidP="00AB2715">
            <w:pPr>
              <w:pStyle w:val="ListParagraph"/>
              <w:keepNext/>
              <w:keepLines/>
              <w:ind w:left="0"/>
              <w:jc w:val="center"/>
              <w:rPr>
                <w:rFonts w:cs="Arial"/>
                <w:szCs w:val="22"/>
              </w:rPr>
            </w:pPr>
            <w:r w:rsidRPr="001C648E">
              <w:rPr>
                <w:rFonts w:cs="Arial"/>
                <w:szCs w:val="22"/>
              </w:rPr>
              <w:t>1.02 to 1.20</w:t>
            </w:r>
          </w:p>
        </w:tc>
      </w:tr>
      <w:tr w:rsidR="00440C35" w14:paraId="2DD4D5D4" w14:textId="77777777" w:rsidTr="00AB2715">
        <w:trPr>
          <w:trHeight w:val="413"/>
          <w:jc w:val="center"/>
        </w:trPr>
        <w:tc>
          <w:tcPr>
            <w:tcW w:w="2908" w:type="dxa"/>
            <w:vAlign w:val="center"/>
          </w:tcPr>
          <w:p w14:paraId="099CB954" w14:textId="77777777" w:rsidR="00440C35" w:rsidRPr="001C648E" w:rsidRDefault="00440C35" w:rsidP="00AB2715">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5C7E8294" w14:textId="77777777" w:rsidR="00440C35" w:rsidRPr="001C648E" w:rsidRDefault="00440C35" w:rsidP="00AB2715">
            <w:pPr>
              <w:pStyle w:val="ListParagraph"/>
              <w:keepNext/>
              <w:keepLines/>
              <w:ind w:left="0"/>
              <w:jc w:val="center"/>
              <w:rPr>
                <w:rFonts w:cs="Arial"/>
                <w:szCs w:val="22"/>
              </w:rPr>
            </w:pPr>
            <w:r w:rsidRPr="001C648E">
              <w:rPr>
                <w:rFonts w:cs="Arial"/>
                <w:szCs w:val="22"/>
              </w:rPr>
              <w:t>ASTM D5603</w:t>
            </w:r>
          </w:p>
        </w:tc>
        <w:tc>
          <w:tcPr>
            <w:tcW w:w="3442" w:type="dxa"/>
            <w:vAlign w:val="center"/>
          </w:tcPr>
          <w:p w14:paraId="7C6445C0" w14:textId="77777777" w:rsidR="00440C35" w:rsidRPr="001C648E" w:rsidRDefault="00440C35" w:rsidP="00AB2715">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440C35" w14:paraId="02A7595F" w14:textId="77777777" w:rsidTr="00AB2715">
        <w:trPr>
          <w:trHeight w:val="413"/>
          <w:jc w:val="center"/>
        </w:trPr>
        <w:tc>
          <w:tcPr>
            <w:tcW w:w="2908" w:type="dxa"/>
            <w:vAlign w:val="center"/>
          </w:tcPr>
          <w:p w14:paraId="591C0240" w14:textId="77777777" w:rsidR="00440C35" w:rsidRPr="001C648E" w:rsidRDefault="00440C35" w:rsidP="00AB2715">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228F4218" w14:textId="77777777" w:rsidR="00440C35" w:rsidRPr="001C648E" w:rsidRDefault="00440C35" w:rsidP="00AB2715">
            <w:pPr>
              <w:pStyle w:val="ListParagraph"/>
              <w:keepNext/>
              <w:keepLines/>
              <w:ind w:left="0"/>
              <w:jc w:val="center"/>
              <w:rPr>
                <w:rFonts w:cs="Arial"/>
                <w:szCs w:val="22"/>
              </w:rPr>
            </w:pPr>
            <w:r w:rsidRPr="001C648E">
              <w:rPr>
                <w:rFonts w:cs="Arial"/>
                <w:szCs w:val="22"/>
              </w:rPr>
              <w:t>ASTM D5603</w:t>
            </w:r>
          </w:p>
        </w:tc>
        <w:tc>
          <w:tcPr>
            <w:tcW w:w="3442" w:type="dxa"/>
            <w:vAlign w:val="center"/>
          </w:tcPr>
          <w:p w14:paraId="6CE75B52" w14:textId="77777777" w:rsidR="00440C35" w:rsidRPr="001C648E" w:rsidRDefault="00440C35" w:rsidP="00AB2715">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440C35" w14:paraId="3318D535" w14:textId="77777777" w:rsidTr="00AB2715">
        <w:trPr>
          <w:trHeight w:val="413"/>
          <w:jc w:val="center"/>
        </w:trPr>
        <w:tc>
          <w:tcPr>
            <w:tcW w:w="2908" w:type="dxa"/>
            <w:vAlign w:val="center"/>
          </w:tcPr>
          <w:p w14:paraId="691C394C" w14:textId="77777777" w:rsidR="00440C35" w:rsidRPr="001C648E" w:rsidRDefault="00440C35" w:rsidP="00AB2715">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7ACF03C2" w14:textId="77777777" w:rsidR="00440C35" w:rsidRPr="001C648E" w:rsidRDefault="00440C35" w:rsidP="00AB2715">
            <w:pPr>
              <w:pStyle w:val="ListParagraph"/>
              <w:keepNext/>
              <w:keepLines/>
              <w:ind w:left="0"/>
              <w:jc w:val="center"/>
              <w:rPr>
                <w:rFonts w:cs="Arial"/>
                <w:szCs w:val="22"/>
              </w:rPr>
            </w:pPr>
            <w:r w:rsidRPr="001C648E">
              <w:rPr>
                <w:rFonts w:cs="Arial"/>
                <w:szCs w:val="22"/>
              </w:rPr>
              <w:t>ASTM D1509</w:t>
            </w:r>
          </w:p>
        </w:tc>
        <w:tc>
          <w:tcPr>
            <w:tcW w:w="3442" w:type="dxa"/>
            <w:vAlign w:val="center"/>
          </w:tcPr>
          <w:p w14:paraId="72D01093" w14:textId="77777777" w:rsidR="00440C35" w:rsidRPr="001C648E" w:rsidRDefault="00440C35" w:rsidP="00AB2715">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440C35" w14:paraId="4E6D15A3" w14:textId="77777777" w:rsidTr="00AB2715">
        <w:trPr>
          <w:trHeight w:val="413"/>
          <w:jc w:val="center"/>
        </w:trPr>
        <w:tc>
          <w:tcPr>
            <w:tcW w:w="2908" w:type="dxa"/>
            <w:vAlign w:val="center"/>
          </w:tcPr>
          <w:p w14:paraId="5AB82B31" w14:textId="77777777" w:rsidR="00440C35" w:rsidRPr="001C648E" w:rsidRDefault="00440C35" w:rsidP="00AB2715">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665DE7F1" w14:textId="77777777" w:rsidR="00440C35" w:rsidRPr="001C648E" w:rsidRDefault="00440C35" w:rsidP="00AB2715">
            <w:pPr>
              <w:pStyle w:val="ListParagraph"/>
              <w:keepNext/>
              <w:keepLines/>
              <w:ind w:left="0"/>
              <w:jc w:val="center"/>
              <w:rPr>
                <w:rFonts w:cs="Arial"/>
                <w:szCs w:val="22"/>
              </w:rPr>
            </w:pPr>
            <w:r w:rsidRPr="001C648E">
              <w:rPr>
                <w:rFonts w:cs="Arial"/>
                <w:szCs w:val="22"/>
              </w:rPr>
              <w:t>AASHTO M17</w:t>
            </w:r>
          </w:p>
        </w:tc>
        <w:tc>
          <w:tcPr>
            <w:tcW w:w="3442" w:type="dxa"/>
            <w:vAlign w:val="center"/>
          </w:tcPr>
          <w:p w14:paraId="3B97ED08" w14:textId="77777777" w:rsidR="00440C35" w:rsidRPr="001C648E" w:rsidRDefault="00440C35" w:rsidP="00AB2715">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49E3DDDD" w14:textId="77777777" w:rsidR="00440C35" w:rsidRPr="005F4BF9" w:rsidRDefault="00440C35" w:rsidP="00440C35">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45C34459" w14:textId="3B5C0B42" w:rsidR="00440C35" w:rsidRPr="00E9624C" w:rsidRDefault="007B4113" w:rsidP="007B4113">
      <w:pPr>
        <w:pStyle w:val="ListParagraph"/>
        <w:ind w:left="0"/>
        <w:rPr>
          <w:rFonts w:cs="Arial"/>
          <w:b/>
          <w:szCs w:val="22"/>
        </w:rPr>
      </w:pPr>
      <w:r>
        <w:rPr>
          <w:rFonts w:cs="Arial"/>
          <w:b/>
          <w:szCs w:val="22"/>
        </w:rPr>
        <w:t xml:space="preserve">2.3  </w:t>
      </w:r>
      <w:r w:rsidR="00440C35">
        <w:rPr>
          <w:rFonts w:cs="Arial"/>
          <w:b/>
          <w:szCs w:val="22"/>
        </w:rPr>
        <w:t>Gradation</w:t>
      </w:r>
      <w:r w:rsidR="00440C35" w:rsidRPr="00C915B5">
        <w:rPr>
          <w:rFonts w:cs="Arial"/>
          <w:szCs w:val="22"/>
        </w:rPr>
        <w:t xml:space="preserve">.  </w:t>
      </w:r>
      <w:r w:rsidR="00440C35">
        <w:rPr>
          <w:rFonts w:cs="Arial"/>
          <w:szCs w:val="22"/>
        </w:rPr>
        <w:t>The GTR material prior to TOR or ECR workability additives</w:t>
      </w:r>
      <w:r w:rsidR="00440C35" w:rsidRPr="00C915B5">
        <w:rPr>
          <w:rFonts w:cs="Arial"/>
          <w:szCs w:val="22"/>
        </w:rPr>
        <w:t xml:space="preserve"> shall meet the following </w:t>
      </w:r>
      <w:r w:rsidR="00440C35">
        <w:rPr>
          <w:rFonts w:cs="Arial"/>
          <w:szCs w:val="22"/>
        </w:rPr>
        <w:t>gradation and shall be tested in accordance with ASTM D5603 and ASTM D5644.</w:t>
      </w:r>
    </w:p>
    <w:p w14:paraId="6F21D4BC" w14:textId="77777777" w:rsidR="00440C35" w:rsidRPr="00E9624C" w:rsidRDefault="00440C35" w:rsidP="00440C35">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440C35" w14:paraId="790FF9F1" w14:textId="77777777" w:rsidTr="00AB2715">
        <w:trPr>
          <w:trHeight w:val="332"/>
          <w:jc w:val="center"/>
        </w:trPr>
        <w:tc>
          <w:tcPr>
            <w:tcW w:w="4534" w:type="dxa"/>
            <w:gridSpan w:val="2"/>
            <w:vAlign w:val="center"/>
          </w:tcPr>
          <w:p w14:paraId="7FEB184B" w14:textId="77777777" w:rsidR="00440C35" w:rsidRPr="0089757E" w:rsidRDefault="00440C35" w:rsidP="00440C35">
            <w:pPr>
              <w:pStyle w:val="ListParagraph"/>
              <w:keepNext/>
              <w:keepLines/>
              <w:ind w:left="0"/>
              <w:jc w:val="center"/>
              <w:rPr>
                <w:rFonts w:cs="Arial"/>
                <w:b/>
                <w:szCs w:val="22"/>
              </w:rPr>
            </w:pPr>
            <w:r w:rsidRPr="0089757E">
              <w:rPr>
                <w:rFonts w:cs="Arial"/>
                <w:b/>
                <w:szCs w:val="22"/>
              </w:rPr>
              <w:t>Table 2 – GTR Gradation</w:t>
            </w:r>
          </w:p>
        </w:tc>
      </w:tr>
      <w:tr w:rsidR="00440C35" w14:paraId="1133F4DA" w14:textId="77777777" w:rsidTr="00AB2715">
        <w:trPr>
          <w:trHeight w:val="357"/>
          <w:jc w:val="center"/>
        </w:trPr>
        <w:tc>
          <w:tcPr>
            <w:tcW w:w="1425" w:type="dxa"/>
            <w:vAlign w:val="center"/>
          </w:tcPr>
          <w:p w14:paraId="74F486C3" w14:textId="77777777" w:rsidR="00440C35" w:rsidRPr="0089757E" w:rsidRDefault="00440C35" w:rsidP="00440C35">
            <w:pPr>
              <w:pStyle w:val="ListParagraph"/>
              <w:keepNext/>
              <w:keepLines/>
              <w:ind w:left="0"/>
              <w:jc w:val="center"/>
              <w:rPr>
                <w:rFonts w:cs="Arial"/>
                <w:b/>
                <w:szCs w:val="22"/>
              </w:rPr>
            </w:pPr>
            <w:r w:rsidRPr="0089757E">
              <w:rPr>
                <w:rFonts w:cs="Arial"/>
                <w:b/>
                <w:szCs w:val="22"/>
              </w:rPr>
              <w:t>Sieve</w:t>
            </w:r>
          </w:p>
        </w:tc>
        <w:tc>
          <w:tcPr>
            <w:tcW w:w="3109" w:type="dxa"/>
            <w:vAlign w:val="center"/>
          </w:tcPr>
          <w:p w14:paraId="63E2DC8D" w14:textId="77777777" w:rsidR="00440C35" w:rsidRPr="0089757E" w:rsidRDefault="00440C35" w:rsidP="00440C35">
            <w:pPr>
              <w:pStyle w:val="ListParagraph"/>
              <w:keepNext/>
              <w:keepLines/>
              <w:ind w:left="0"/>
              <w:jc w:val="center"/>
              <w:rPr>
                <w:rFonts w:cs="Arial"/>
                <w:b/>
                <w:szCs w:val="22"/>
              </w:rPr>
            </w:pPr>
            <w:r w:rsidRPr="0089757E">
              <w:rPr>
                <w:rFonts w:cs="Arial"/>
                <w:b/>
                <w:szCs w:val="22"/>
              </w:rPr>
              <w:t>Percent Passing by Weight</w:t>
            </w:r>
          </w:p>
        </w:tc>
      </w:tr>
      <w:tr w:rsidR="00440C35" w14:paraId="49BEE439" w14:textId="77777777" w:rsidTr="00AB2715">
        <w:trPr>
          <w:trHeight w:val="288"/>
          <w:jc w:val="center"/>
        </w:trPr>
        <w:tc>
          <w:tcPr>
            <w:tcW w:w="1425" w:type="dxa"/>
            <w:vAlign w:val="center"/>
          </w:tcPr>
          <w:p w14:paraId="11450AB1" w14:textId="77777777" w:rsidR="00440C35" w:rsidRPr="0089757E" w:rsidRDefault="00440C35" w:rsidP="00440C35">
            <w:pPr>
              <w:pStyle w:val="ListParagraph"/>
              <w:keepNext/>
              <w:keepLines/>
              <w:ind w:left="0"/>
              <w:jc w:val="center"/>
              <w:rPr>
                <w:rFonts w:cs="Arial"/>
                <w:szCs w:val="22"/>
              </w:rPr>
            </w:pPr>
            <w:r w:rsidRPr="0089757E">
              <w:rPr>
                <w:rFonts w:cs="Arial"/>
                <w:szCs w:val="22"/>
              </w:rPr>
              <w:t>No. 20</w:t>
            </w:r>
          </w:p>
        </w:tc>
        <w:tc>
          <w:tcPr>
            <w:tcW w:w="3109" w:type="dxa"/>
            <w:vAlign w:val="center"/>
          </w:tcPr>
          <w:p w14:paraId="20B7E452" w14:textId="77777777" w:rsidR="00440C35" w:rsidRPr="0089757E" w:rsidRDefault="00440C35" w:rsidP="00440C35">
            <w:pPr>
              <w:pStyle w:val="ListParagraph"/>
              <w:keepNext/>
              <w:keepLines/>
              <w:ind w:left="0"/>
              <w:jc w:val="center"/>
              <w:rPr>
                <w:rFonts w:cs="Arial"/>
                <w:szCs w:val="22"/>
              </w:rPr>
            </w:pPr>
            <w:r w:rsidRPr="0089757E">
              <w:rPr>
                <w:rFonts w:cs="Arial"/>
                <w:szCs w:val="22"/>
              </w:rPr>
              <w:t>100</w:t>
            </w:r>
          </w:p>
        </w:tc>
      </w:tr>
      <w:tr w:rsidR="00440C35" w14:paraId="47DBB53A" w14:textId="77777777" w:rsidTr="00AB2715">
        <w:trPr>
          <w:trHeight w:val="288"/>
          <w:jc w:val="center"/>
        </w:trPr>
        <w:tc>
          <w:tcPr>
            <w:tcW w:w="1425" w:type="dxa"/>
            <w:vAlign w:val="center"/>
          </w:tcPr>
          <w:p w14:paraId="3B462EA8" w14:textId="77777777" w:rsidR="00440C35" w:rsidRPr="0089757E" w:rsidRDefault="00440C35" w:rsidP="00440C35">
            <w:pPr>
              <w:pStyle w:val="ListParagraph"/>
              <w:keepNext/>
              <w:keepLines/>
              <w:ind w:left="0"/>
              <w:jc w:val="center"/>
              <w:rPr>
                <w:rFonts w:cs="Arial"/>
                <w:szCs w:val="22"/>
              </w:rPr>
            </w:pPr>
            <w:r w:rsidRPr="0089757E">
              <w:rPr>
                <w:rFonts w:cs="Arial"/>
                <w:szCs w:val="22"/>
              </w:rPr>
              <w:t>No. 30</w:t>
            </w:r>
          </w:p>
        </w:tc>
        <w:tc>
          <w:tcPr>
            <w:tcW w:w="3109" w:type="dxa"/>
            <w:vAlign w:val="center"/>
          </w:tcPr>
          <w:p w14:paraId="0E78B59B" w14:textId="77777777" w:rsidR="00440C35" w:rsidRPr="0089757E" w:rsidRDefault="00440C35" w:rsidP="00440C35">
            <w:pPr>
              <w:pStyle w:val="ListParagraph"/>
              <w:keepNext/>
              <w:keepLines/>
              <w:ind w:left="0"/>
              <w:jc w:val="center"/>
              <w:rPr>
                <w:rFonts w:cs="Arial"/>
                <w:szCs w:val="22"/>
              </w:rPr>
            </w:pPr>
            <w:r w:rsidRPr="0089757E">
              <w:rPr>
                <w:rFonts w:cs="Arial"/>
                <w:szCs w:val="22"/>
              </w:rPr>
              <w:t>98-100</w:t>
            </w:r>
          </w:p>
        </w:tc>
      </w:tr>
      <w:tr w:rsidR="00440C35" w14:paraId="75529EF6" w14:textId="77777777" w:rsidTr="00AB2715">
        <w:trPr>
          <w:trHeight w:val="288"/>
          <w:jc w:val="center"/>
        </w:trPr>
        <w:tc>
          <w:tcPr>
            <w:tcW w:w="1425" w:type="dxa"/>
            <w:vAlign w:val="center"/>
          </w:tcPr>
          <w:p w14:paraId="52C45B92" w14:textId="77777777" w:rsidR="00440C35" w:rsidRPr="0089757E" w:rsidRDefault="00440C35" w:rsidP="00440C35">
            <w:pPr>
              <w:pStyle w:val="ListParagraph"/>
              <w:keepNext/>
              <w:keepLines/>
              <w:ind w:left="0"/>
              <w:jc w:val="center"/>
              <w:rPr>
                <w:rFonts w:cs="Arial"/>
                <w:szCs w:val="22"/>
              </w:rPr>
            </w:pPr>
            <w:r w:rsidRPr="0089757E">
              <w:rPr>
                <w:rFonts w:cs="Arial"/>
                <w:szCs w:val="22"/>
              </w:rPr>
              <w:t>No. 40</w:t>
            </w:r>
          </w:p>
        </w:tc>
        <w:tc>
          <w:tcPr>
            <w:tcW w:w="3109" w:type="dxa"/>
            <w:vAlign w:val="center"/>
          </w:tcPr>
          <w:p w14:paraId="51F9C049" w14:textId="77777777" w:rsidR="00440C35" w:rsidRPr="0089757E" w:rsidRDefault="00440C35" w:rsidP="00440C35">
            <w:pPr>
              <w:pStyle w:val="ListParagraph"/>
              <w:keepNext/>
              <w:keepLines/>
              <w:ind w:left="0"/>
              <w:jc w:val="center"/>
              <w:rPr>
                <w:rFonts w:cs="Arial"/>
                <w:szCs w:val="22"/>
              </w:rPr>
            </w:pPr>
            <w:r w:rsidRPr="0089757E">
              <w:rPr>
                <w:rFonts w:cs="Arial"/>
                <w:szCs w:val="22"/>
              </w:rPr>
              <w:t>50-70</w:t>
            </w:r>
          </w:p>
        </w:tc>
      </w:tr>
      <w:tr w:rsidR="00440C35" w14:paraId="01B2D71C" w14:textId="77777777" w:rsidTr="00AB2715">
        <w:trPr>
          <w:trHeight w:val="288"/>
          <w:jc w:val="center"/>
        </w:trPr>
        <w:tc>
          <w:tcPr>
            <w:tcW w:w="1425" w:type="dxa"/>
            <w:vAlign w:val="center"/>
          </w:tcPr>
          <w:p w14:paraId="7DA93987" w14:textId="77777777" w:rsidR="00440C35" w:rsidRPr="0089757E" w:rsidRDefault="00440C35" w:rsidP="00440C35">
            <w:pPr>
              <w:pStyle w:val="ListParagraph"/>
              <w:keepNext/>
              <w:keepLines/>
              <w:ind w:left="0"/>
              <w:jc w:val="center"/>
              <w:rPr>
                <w:rFonts w:cs="Arial"/>
                <w:szCs w:val="22"/>
              </w:rPr>
            </w:pPr>
            <w:r w:rsidRPr="0089757E">
              <w:rPr>
                <w:rFonts w:cs="Arial"/>
                <w:szCs w:val="22"/>
              </w:rPr>
              <w:t>No. 100</w:t>
            </w:r>
          </w:p>
        </w:tc>
        <w:tc>
          <w:tcPr>
            <w:tcW w:w="3109" w:type="dxa"/>
            <w:vAlign w:val="center"/>
          </w:tcPr>
          <w:p w14:paraId="6010DB1D" w14:textId="77777777" w:rsidR="00440C35" w:rsidRPr="0089757E" w:rsidRDefault="00440C35" w:rsidP="00440C35">
            <w:pPr>
              <w:pStyle w:val="ListParagraph"/>
              <w:keepNext/>
              <w:keepLines/>
              <w:ind w:left="0"/>
              <w:jc w:val="center"/>
              <w:rPr>
                <w:rFonts w:cs="Arial"/>
                <w:szCs w:val="22"/>
              </w:rPr>
            </w:pPr>
            <w:r w:rsidRPr="0089757E">
              <w:rPr>
                <w:rFonts w:cs="Arial"/>
                <w:szCs w:val="22"/>
              </w:rPr>
              <w:t>5-15</w:t>
            </w:r>
          </w:p>
        </w:tc>
      </w:tr>
    </w:tbl>
    <w:p w14:paraId="44F2EC0B" w14:textId="77777777" w:rsidR="00440C35" w:rsidRPr="00B23990" w:rsidRDefault="00440C35" w:rsidP="00440C35">
      <w:pPr>
        <w:rPr>
          <w:rFonts w:cs="Arial"/>
          <w:b/>
          <w:szCs w:val="22"/>
        </w:rPr>
      </w:pPr>
    </w:p>
    <w:p w14:paraId="3656358B" w14:textId="259BB445" w:rsidR="00440C35" w:rsidRPr="00B23990" w:rsidRDefault="007B4113" w:rsidP="00547BF2">
      <w:pPr>
        <w:pStyle w:val="ListParagraph"/>
        <w:ind w:left="0"/>
        <w:rPr>
          <w:rFonts w:cs="Arial"/>
          <w:szCs w:val="22"/>
        </w:rPr>
      </w:pPr>
      <w:r>
        <w:rPr>
          <w:rFonts w:cs="Arial"/>
          <w:b/>
          <w:szCs w:val="22"/>
        </w:rPr>
        <w:t xml:space="preserve">3.0  </w:t>
      </w:r>
      <w:r w:rsidR="00440C35" w:rsidRPr="00C915B5">
        <w:rPr>
          <w:rFonts w:cs="Arial"/>
          <w:b/>
          <w:szCs w:val="22"/>
        </w:rPr>
        <w:t xml:space="preserve">Delivery, Storage, and Handling.  </w:t>
      </w:r>
      <w:r w:rsidR="00440C35" w:rsidRPr="00C915B5">
        <w:rPr>
          <w:rFonts w:cs="Arial"/>
          <w:szCs w:val="22"/>
        </w:rPr>
        <w:t xml:space="preserve">The </w:t>
      </w:r>
      <w:r w:rsidR="00440C35">
        <w:rPr>
          <w:rFonts w:cs="Arial"/>
          <w:szCs w:val="22"/>
        </w:rPr>
        <w:t xml:space="preserve">GTR shall be supplied in moisture-proof packaging or other appropriate bulk containers.  GTR shall be stored in a dry location protected from rain before use. </w:t>
      </w:r>
      <w:r w:rsidR="0089580D">
        <w:rPr>
          <w:rFonts w:cs="Arial"/>
          <w:szCs w:val="22"/>
        </w:rPr>
        <w:t xml:space="preserve"> </w:t>
      </w:r>
      <w:r w:rsidR="00440C35" w:rsidRPr="00B23990">
        <w:rPr>
          <w:rFonts w:cs="Arial"/>
          <w:szCs w:val="22"/>
        </w:rPr>
        <w:t>Each bag or container shall be properly labeled with the manufacturer’s designation for the GTR and specific type,</w:t>
      </w:r>
      <w:r w:rsidR="00440C35">
        <w:rPr>
          <w:rFonts w:cs="Arial"/>
          <w:szCs w:val="22"/>
        </w:rPr>
        <w:t xml:space="preserve"> </w:t>
      </w:r>
      <w:r w:rsidR="00440C35" w:rsidRPr="00B23990">
        <w:rPr>
          <w:rFonts w:cs="Arial"/>
          <w:szCs w:val="22"/>
        </w:rPr>
        <w:t>mesh size, weight and manufacturer’s batch or Lot designation.</w:t>
      </w:r>
    </w:p>
    <w:p w14:paraId="2450F448" w14:textId="77777777" w:rsidR="00440C35" w:rsidRPr="00C915B5" w:rsidRDefault="00440C35" w:rsidP="00547BF2">
      <w:pPr>
        <w:rPr>
          <w:szCs w:val="22"/>
        </w:rPr>
      </w:pPr>
    </w:p>
    <w:p w14:paraId="50B83F61" w14:textId="53EBD155" w:rsidR="00440C35" w:rsidRPr="004E3B0E" w:rsidRDefault="007B4113" w:rsidP="00547BF2">
      <w:pPr>
        <w:pStyle w:val="ListParagraph"/>
        <w:ind w:left="0"/>
        <w:rPr>
          <w:rFonts w:cs="Arial"/>
          <w:szCs w:val="22"/>
        </w:rPr>
      </w:pPr>
      <w:r w:rsidRPr="004E3B0E">
        <w:rPr>
          <w:rFonts w:cs="Arial"/>
          <w:b/>
          <w:szCs w:val="22"/>
        </w:rPr>
        <w:t xml:space="preserve">4.0  </w:t>
      </w:r>
      <w:r w:rsidR="00440C35" w:rsidRPr="004E3B0E">
        <w:rPr>
          <w:rFonts w:cs="Arial"/>
          <w:b/>
          <w:szCs w:val="22"/>
        </w:rPr>
        <w:t xml:space="preserve">Feeder System.  </w:t>
      </w:r>
      <w:r w:rsidR="00440C35" w:rsidRPr="004E3B0E">
        <w:rPr>
          <w:rFonts w:cs="Arial"/>
          <w:szCs w:val="22"/>
        </w:rPr>
        <w:t>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w:t>
      </w:r>
      <w:r w:rsidR="001762AF" w:rsidRPr="004E3B0E">
        <w:rPr>
          <w:rFonts w:cs="Arial"/>
          <w:szCs w:val="22"/>
        </w:rPr>
        <w:t>-</w:t>
      </w:r>
      <w:r w:rsidR="007949F0" w:rsidRPr="004E3B0E">
        <w:rPr>
          <w:rFonts w:cs="Arial"/>
          <w:szCs w:val="22"/>
        </w:rPr>
        <w:t>pound</w:t>
      </w:r>
      <w:r w:rsidR="00440C35" w:rsidRPr="004E3B0E">
        <w:rPr>
          <w:rFonts w:cs="Arial"/>
          <w:szCs w:val="22"/>
        </w:rPr>
        <w:t xml:space="preserve">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4764422E" w14:textId="77777777" w:rsidR="00440C35" w:rsidRPr="004E3B0E" w:rsidRDefault="00440C35" w:rsidP="00547BF2">
      <w:pPr>
        <w:pStyle w:val="ListParagraph"/>
        <w:ind w:left="0"/>
        <w:rPr>
          <w:rFonts w:cs="Arial"/>
          <w:szCs w:val="22"/>
        </w:rPr>
      </w:pPr>
    </w:p>
    <w:p w14:paraId="6C4BC5A9" w14:textId="77777777" w:rsidR="00440C35" w:rsidRDefault="00440C35" w:rsidP="00547BF2">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2D162697" w14:textId="77777777" w:rsidR="00481092" w:rsidRPr="004E3B0E" w:rsidRDefault="00481092" w:rsidP="00547BF2">
      <w:pPr>
        <w:pStyle w:val="ListParagraph"/>
        <w:ind w:left="0"/>
        <w:rPr>
          <w:szCs w:val="22"/>
        </w:rPr>
      </w:pPr>
    </w:p>
    <w:p w14:paraId="31EAD443" w14:textId="79B25071" w:rsidR="00440C35" w:rsidRPr="00481092" w:rsidRDefault="007B4113" w:rsidP="00500F68">
      <w:pPr>
        <w:pStyle w:val="ListParagraph"/>
        <w:tabs>
          <w:tab w:val="left" w:pos="360"/>
        </w:tabs>
        <w:ind w:left="0"/>
        <w:contextualSpacing w:val="0"/>
        <w:rPr>
          <w:rFonts w:cs="Arial"/>
          <w:szCs w:val="22"/>
        </w:rPr>
      </w:pPr>
      <w:r w:rsidRPr="00481092">
        <w:rPr>
          <w:rFonts w:cs="Arial"/>
          <w:b/>
          <w:bCs/>
          <w:szCs w:val="22"/>
        </w:rPr>
        <w:t xml:space="preserve">4.1  </w:t>
      </w:r>
      <w:r w:rsidR="00440C35" w:rsidRPr="00481092">
        <w:rPr>
          <w:rFonts w:cs="Arial"/>
          <w:b/>
          <w:bCs/>
          <w:szCs w:val="22"/>
        </w:rPr>
        <w:t xml:space="preserve">Batch Plants.  </w:t>
      </w:r>
      <w:r w:rsidR="00440C35" w:rsidRPr="00481092">
        <w:rPr>
          <w:rFonts w:cs="Arial"/>
          <w:szCs w:val="22"/>
        </w:rPr>
        <w:t>GTR shall be added to aggregate in the weigh hopper.</w:t>
      </w:r>
      <w:r w:rsidR="00440C35" w:rsidRPr="00481092">
        <w:rPr>
          <w:rFonts w:cs="Arial"/>
          <w:b/>
          <w:bCs/>
          <w:szCs w:val="22"/>
        </w:rPr>
        <w:t xml:space="preserve">  </w:t>
      </w:r>
      <w:r w:rsidR="00440C35" w:rsidRPr="00481092">
        <w:rPr>
          <w:rFonts w:cs="Arial"/>
          <w:szCs w:val="22"/>
        </w:rPr>
        <w:t>Mixing times shall be increased per GTR manufacturer recommendations</w:t>
      </w:r>
      <w:r w:rsidR="00481092" w:rsidRPr="00481092">
        <w:rPr>
          <w:rFonts w:cs="Arial"/>
          <w:szCs w:val="22"/>
        </w:rPr>
        <w:t>.</w:t>
      </w:r>
    </w:p>
    <w:p w14:paraId="55D223C0" w14:textId="77777777" w:rsidR="00481092" w:rsidRPr="00481092" w:rsidRDefault="00481092" w:rsidP="00500F68">
      <w:pPr>
        <w:pStyle w:val="ListParagraph"/>
        <w:tabs>
          <w:tab w:val="left" w:pos="360"/>
        </w:tabs>
        <w:ind w:left="0"/>
        <w:contextualSpacing w:val="0"/>
        <w:rPr>
          <w:rFonts w:cs="Arial"/>
          <w:b/>
          <w:bCs/>
          <w:szCs w:val="22"/>
        </w:rPr>
      </w:pPr>
    </w:p>
    <w:p w14:paraId="18DDEF86" w14:textId="18CA9BFF" w:rsidR="00440C35" w:rsidRDefault="007B4113" w:rsidP="00500F68">
      <w:pPr>
        <w:pStyle w:val="ListParagraph"/>
        <w:tabs>
          <w:tab w:val="left" w:pos="360"/>
        </w:tabs>
        <w:ind w:left="0"/>
        <w:contextualSpacing w:val="0"/>
        <w:rPr>
          <w:rFonts w:cs="Arial"/>
          <w:szCs w:val="22"/>
        </w:rPr>
      </w:pPr>
      <w:r w:rsidRPr="00481092">
        <w:rPr>
          <w:rFonts w:cs="Arial"/>
          <w:b/>
          <w:bCs/>
          <w:szCs w:val="22"/>
        </w:rPr>
        <w:t xml:space="preserve">4.2  </w:t>
      </w:r>
      <w:r w:rsidR="00440C35" w:rsidRPr="00481092">
        <w:rPr>
          <w:rFonts w:cs="Arial"/>
          <w:b/>
          <w:bCs/>
          <w:szCs w:val="22"/>
        </w:rPr>
        <w:t>Drum Plants.</w:t>
      </w:r>
      <w:r w:rsidR="00440C35" w:rsidRPr="00481092">
        <w:rPr>
          <w:rFonts w:cs="Arial"/>
          <w:szCs w:val="22"/>
        </w:rPr>
        <w:t xml:space="preserve">  The feeder system shall add GTR to aggregate and liquid binder during mixing and provide sufficient mixing time to produce a uniform mixture.  The feeder system shall ensure </w:t>
      </w:r>
      <w:r w:rsidR="00440C35" w:rsidRPr="00481092">
        <w:rPr>
          <w:rFonts w:cs="Arial"/>
          <w:szCs w:val="22"/>
        </w:rPr>
        <w:lastRenderedPageBreak/>
        <w:t>GTR does not become entrained in the exhaust system of the drier or plant and is not exposed to the drier flame at any point after introduction.</w:t>
      </w:r>
    </w:p>
    <w:p w14:paraId="58688032" w14:textId="77777777" w:rsidR="00481092" w:rsidRPr="00481092" w:rsidRDefault="00481092" w:rsidP="00500F68">
      <w:pPr>
        <w:pStyle w:val="ListParagraph"/>
        <w:tabs>
          <w:tab w:val="left" w:pos="360"/>
        </w:tabs>
        <w:ind w:left="0"/>
        <w:contextualSpacing w:val="0"/>
        <w:rPr>
          <w:rFonts w:cs="Arial"/>
          <w:b/>
          <w:bCs/>
          <w:szCs w:val="22"/>
        </w:rPr>
      </w:pPr>
    </w:p>
    <w:p w14:paraId="153AB1B6" w14:textId="7CFAB13B" w:rsidR="00440C35" w:rsidRDefault="007B4113" w:rsidP="00481092">
      <w:pPr>
        <w:pStyle w:val="ListParagraph"/>
        <w:tabs>
          <w:tab w:val="left" w:pos="360"/>
        </w:tabs>
        <w:ind w:left="0"/>
        <w:contextualSpacing w:val="0"/>
        <w:rPr>
          <w:rFonts w:cs="Arial"/>
          <w:szCs w:val="22"/>
        </w:rPr>
      </w:pPr>
      <w:r>
        <w:rPr>
          <w:rFonts w:cs="Arial"/>
          <w:b/>
          <w:szCs w:val="22"/>
        </w:rPr>
        <w:t xml:space="preserve">5.0  </w:t>
      </w:r>
      <w:r w:rsidR="00440C35">
        <w:rPr>
          <w:rFonts w:cs="Arial"/>
          <w:b/>
          <w:szCs w:val="22"/>
        </w:rPr>
        <w:t>Testing During Mixture Production</w:t>
      </w:r>
      <w:r w:rsidR="00440C35" w:rsidRPr="00DD2747">
        <w:rPr>
          <w:rFonts w:cs="Arial"/>
          <w:b/>
          <w:szCs w:val="22"/>
        </w:rPr>
        <w:t>.</w:t>
      </w:r>
      <w:r w:rsidR="00440C35">
        <w:rPr>
          <w:rFonts w:cs="Arial"/>
          <w:b/>
          <w:szCs w:val="22"/>
        </w:rPr>
        <w:t xml:space="preserve">  </w:t>
      </w:r>
      <w:r w:rsidR="00440C35">
        <w:rPr>
          <w:rFonts w:cs="Arial"/>
          <w:bCs/>
          <w:szCs w:val="22"/>
        </w:rPr>
        <w:t>Testing of asphalt mixes containing GTR shall not begin until at least 30 minutes after production or per additive supplier’s recommendation.</w:t>
      </w:r>
    </w:p>
    <w:p w14:paraId="07C05848" w14:textId="77777777" w:rsidR="00440C35" w:rsidRPr="00314652" w:rsidRDefault="00440C35" w:rsidP="00481092">
      <w:pPr>
        <w:pStyle w:val="ListParagraph"/>
        <w:ind w:left="0"/>
        <w:rPr>
          <w:rFonts w:cs="Arial"/>
          <w:szCs w:val="22"/>
        </w:rPr>
      </w:pPr>
    </w:p>
    <w:p w14:paraId="7907685E" w14:textId="13B206D4" w:rsidR="00440C35" w:rsidRPr="00536A4D" w:rsidRDefault="007B4113" w:rsidP="00481092">
      <w:pPr>
        <w:pStyle w:val="ListParagraph"/>
        <w:tabs>
          <w:tab w:val="left" w:pos="360"/>
        </w:tabs>
        <w:ind w:left="0"/>
        <w:rPr>
          <w:rFonts w:cs="Arial"/>
          <w:b/>
          <w:bCs/>
          <w:szCs w:val="22"/>
        </w:rPr>
      </w:pPr>
      <w:r>
        <w:rPr>
          <w:rFonts w:cs="Arial"/>
          <w:b/>
          <w:bCs/>
          <w:szCs w:val="22"/>
        </w:rPr>
        <w:t xml:space="preserve">6.0  </w:t>
      </w:r>
      <w:r w:rsidR="00440C35">
        <w:rPr>
          <w:rFonts w:cs="Arial"/>
          <w:b/>
          <w:bCs/>
          <w:szCs w:val="22"/>
        </w:rPr>
        <w:t xml:space="preserve">Construction Requirements.  </w:t>
      </w:r>
      <w:r w:rsidR="00440C35">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sidR="00440C35">
        <w:rPr>
          <w:rFonts w:cs="Arial"/>
          <w:szCs w:val="22"/>
        </w:rPr>
        <w:t xml:space="preserve"> This may include holding mix in the silo to allow time for binder to absorb into the GTR.  Rolling operations may need to be modified. </w:t>
      </w:r>
    </w:p>
    <w:p w14:paraId="2C3BD06A" w14:textId="77777777" w:rsidR="00440C35" w:rsidRPr="00536A4D" w:rsidRDefault="00440C35" w:rsidP="00481092">
      <w:pPr>
        <w:pStyle w:val="ListParagraph"/>
        <w:ind w:left="0"/>
        <w:rPr>
          <w:rFonts w:cs="Arial"/>
          <w:b/>
          <w:bCs/>
          <w:szCs w:val="22"/>
        </w:rPr>
      </w:pPr>
    </w:p>
    <w:p w14:paraId="0DB74C80" w14:textId="2FCF519E" w:rsidR="00440C35" w:rsidRPr="00C2237F" w:rsidRDefault="007B4113" w:rsidP="00481092">
      <w:pPr>
        <w:pStyle w:val="ListParagraph"/>
        <w:tabs>
          <w:tab w:val="left" w:pos="360"/>
        </w:tabs>
        <w:ind w:left="0"/>
        <w:rPr>
          <w:rFonts w:cs="Arial"/>
          <w:b/>
          <w:bCs/>
          <w:szCs w:val="22"/>
        </w:rPr>
      </w:pPr>
      <w:r>
        <w:rPr>
          <w:rFonts w:cs="Arial"/>
          <w:b/>
          <w:bCs/>
          <w:szCs w:val="22"/>
        </w:rPr>
        <w:t xml:space="preserve">7.0  </w:t>
      </w:r>
      <w:r w:rsidR="00440C35">
        <w:rPr>
          <w:rFonts w:cs="Arial"/>
          <w:b/>
          <w:bCs/>
          <w:szCs w:val="22"/>
        </w:rPr>
        <w:t>Mix Design T</w:t>
      </w:r>
      <w:r w:rsidR="00440C35" w:rsidRPr="000D7E51">
        <w:rPr>
          <w:rFonts w:cs="Arial"/>
          <w:b/>
          <w:bCs/>
          <w:szCs w:val="22"/>
        </w:rPr>
        <w:t xml:space="preserve">est Method Modification. </w:t>
      </w:r>
      <w:r w:rsidR="00440C35">
        <w:rPr>
          <w:rFonts w:cs="Arial"/>
          <w:b/>
          <w:bCs/>
          <w:szCs w:val="22"/>
        </w:rPr>
        <w:t xml:space="preserve"> </w:t>
      </w:r>
      <w:r w:rsidR="00440C35" w:rsidRPr="000D7E51">
        <w:rPr>
          <w:rFonts w:cs="Arial"/>
          <w:szCs w:val="22"/>
        </w:rPr>
        <w:t xml:space="preserve">A formal mixing procedure from the additive supplier shall be provided to the </w:t>
      </w:r>
      <w:r w:rsidR="00440C35">
        <w:rPr>
          <w:rFonts w:cs="Arial"/>
          <w:szCs w:val="22"/>
        </w:rPr>
        <w:t xml:space="preserve">contractor and </w:t>
      </w:r>
      <w:r w:rsidR="00440C35"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sidR="00440C35">
        <w:rPr>
          <w:rFonts w:cs="Arial"/>
          <w:szCs w:val="22"/>
        </w:rPr>
        <w:t xml:space="preserve">engineer and </w:t>
      </w:r>
      <w:r w:rsidR="00440C35" w:rsidRPr="000D7E51">
        <w:rPr>
          <w:rFonts w:cs="Arial"/>
          <w:szCs w:val="22"/>
        </w:rPr>
        <w:t>contractor throughout the duration of the project.</w:t>
      </w:r>
    </w:p>
    <w:p w14:paraId="4BFE83BF" w14:textId="77777777" w:rsidR="00440C35" w:rsidRPr="00C2237F" w:rsidRDefault="00440C35" w:rsidP="00481092">
      <w:pPr>
        <w:pStyle w:val="ListParagraph"/>
        <w:tabs>
          <w:tab w:val="left" w:pos="360"/>
        </w:tabs>
        <w:ind w:left="0"/>
        <w:rPr>
          <w:rFonts w:cs="Arial"/>
          <w:b/>
          <w:bCs/>
          <w:szCs w:val="22"/>
        </w:rPr>
      </w:pPr>
    </w:p>
    <w:p w14:paraId="7E110788" w14:textId="37E5EE70" w:rsidR="00440C35" w:rsidRPr="00297FE9" w:rsidRDefault="007B4113" w:rsidP="00481092">
      <w:pPr>
        <w:pStyle w:val="ListParagraph"/>
        <w:tabs>
          <w:tab w:val="left" w:pos="360"/>
        </w:tabs>
        <w:ind w:left="0"/>
        <w:rPr>
          <w:rFonts w:cs="Arial"/>
          <w:b/>
          <w:bCs/>
          <w:szCs w:val="22"/>
        </w:rPr>
      </w:pPr>
      <w:r>
        <w:rPr>
          <w:rFonts w:cs="Arial"/>
          <w:b/>
          <w:bCs/>
          <w:szCs w:val="22"/>
        </w:rPr>
        <w:t xml:space="preserve">8.0  </w:t>
      </w:r>
      <w:r w:rsidR="00440C35">
        <w:rPr>
          <w:rFonts w:cs="Arial"/>
          <w:b/>
          <w:bCs/>
          <w:szCs w:val="22"/>
        </w:rPr>
        <w:t xml:space="preserve">Mix design Volumetrics.  </w:t>
      </w:r>
      <w:r w:rsidR="00440C35">
        <w:rPr>
          <w:rFonts w:cs="Arial"/>
          <w:szCs w:val="22"/>
        </w:rPr>
        <w:t>Mix design volumetric equations shall be modified as follows:</w:t>
      </w:r>
    </w:p>
    <w:p w14:paraId="6E5AE1BE" w14:textId="77777777" w:rsidR="00440C35" w:rsidRPr="00297FE9" w:rsidRDefault="00440C35" w:rsidP="00481092">
      <w:pPr>
        <w:pStyle w:val="ListParagraph"/>
        <w:ind w:left="0"/>
        <w:rPr>
          <w:rFonts w:cs="Arial"/>
          <w:szCs w:val="22"/>
        </w:rPr>
      </w:pPr>
    </w:p>
    <w:p w14:paraId="2F93213F" w14:textId="68B17490" w:rsidR="00440C35" w:rsidRPr="00F63BE3" w:rsidRDefault="007B4113" w:rsidP="00912395">
      <w:pPr>
        <w:pStyle w:val="ListParagraph"/>
        <w:tabs>
          <w:tab w:val="left" w:pos="360"/>
        </w:tabs>
        <w:ind w:left="0"/>
        <w:rPr>
          <w:rFonts w:cs="Arial"/>
          <w:b/>
          <w:bCs/>
          <w:szCs w:val="22"/>
        </w:rPr>
      </w:pPr>
      <w:r w:rsidRPr="007B4113">
        <w:rPr>
          <w:rFonts w:cs="Arial"/>
          <w:b/>
          <w:bCs/>
          <w:szCs w:val="22"/>
        </w:rPr>
        <w:t>8.1</w:t>
      </w:r>
      <w:r>
        <w:rPr>
          <w:rFonts w:cs="Arial"/>
          <w:szCs w:val="22"/>
        </w:rPr>
        <w:t xml:space="preserve">  </w:t>
      </w:r>
      <w:r w:rsidR="00440C35">
        <w:rPr>
          <w:rFonts w:cs="Arial"/>
          <w:szCs w:val="22"/>
        </w:rPr>
        <w:t>Additional virgin binder added to offset GTR absorption of binder shall be counted as part of the mix virgin binder</w:t>
      </w:r>
    </w:p>
    <w:p w14:paraId="3A6F4507" w14:textId="77777777" w:rsidR="00440C35" w:rsidRPr="00370D10" w:rsidRDefault="00440C35" w:rsidP="00912395">
      <w:pPr>
        <w:pStyle w:val="ListParagraph"/>
        <w:tabs>
          <w:tab w:val="left" w:pos="360"/>
        </w:tabs>
        <w:ind w:left="0"/>
        <w:rPr>
          <w:rFonts w:cs="Arial"/>
          <w:b/>
          <w:bCs/>
          <w:szCs w:val="22"/>
        </w:rPr>
      </w:pPr>
    </w:p>
    <w:p w14:paraId="59B800E6" w14:textId="5DD9112C" w:rsidR="00440C35" w:rsidRPr="00F63BE3" w:rsidRDefault="007B4113" w:rsidP="00912395">
      <w:pPr>
        <w:pStyle w:val="ListParagraph"/>
        <w:tabs>
          <w:tab w:val="left" w:pos="360"/>
        </w:tabs>
        <w:ind w:left="0"/>
        <w:rPr>
          <w:rFonts w:cs="Arial"/>
          <w:b/>
          <w:bCs/>
          <w:szCs w:val="22"/>
        </w:rPr>
      </w:pPr>
      <w:r w:rsidRPr="007B4113">
        <w:rPr>
          <w:rFonts w:cs="Arial"/>
          <w:b/>
          <w:bCs/>
          <w:szCs w:val="22"/>
        </w:rPr>
        <w:t>8.2</w:t>
      </w:r>
      <w:r>
        <w:rPr>
          <w:rFonts w:cs="Arial"/>
          <w:szCs w:val="22"/>
        </w:rPr>
        <w:t xml:space="preserve">  </w:t>
      </w:r>
      <w:r w:rsidR="00440C35">
        <w:rPr>
          <w:rFonts w:cs="Arial"/>
          <w:szCs w:val="22"/>
        </w:rPr>
        <w:t>GTR shall be included as part of the aggregate when calculating VMA of the mix.</w:t>
      </w:r>
    </w:p>
    <w:p w14:paraId="03074BDA" w14:textId="77777777" w:rsidR="00440C35" w:rsidRPr="00091ACB" w:rsidRDefault="00440C35" w:rsidP="00912395">
      <w:pPr>
        <w:pStyle w:val="ListParagraph"/>
        <w:tabs>
          <w:tab w:val="left" w:pos="360"/>
        </w:tabs>
        <w:ind w:left="0"/>
        <w:rPr>
          <w:rFonts w:cs="Arial"/>
          <w:b/>
          <w:bCs/>
          <w:szCs w:val="22"/>
        </w:rPr>
      </w:pPr>
    </w:p>
    <w:p w14:paraId="70AB6A44" w14:textId="7A55A56E" w:rsidR="00440C35" w:rsidRDefault="007B4113" w:rsidP="00600A57">
      <w:pPr>
        <w:pStyle w:val="ListParagraph"/>
        <w:tabs>
          <w:tab w:val="left" w:pos="360"/>
        </w:tabs>
        <w:ind w:left="0"/>
        <w:rPr>
          <w:rFonts w:cs="Arial"/>
          <w:szCs w:val="22"/>
        </w:rPr>
      </w:pPr>
      <w:r w:rsidRPr="007B4113">
        <w:rPr>
          <w:rFonts w:cs="Arial"/>
          <w:b/>
          <w:bCs/>
          <w:szCs w:val="22"/>
        </w:rPr>
        <w:t>8.2.1</w:t>
      </w:r>
      <w:r>
        <w:rPr>
          <w:rFonts w:cs="Arial"/>
          <w:szCs w:val="22"/>
        </w:rPr>
        <w:t xml:space="preserve">  </w:t>
      </w:r>
      <w:r w:rsidR="00440C35">
        <w:rPr>
          <w:rFonts w:cs="Arial"/>
          <w:szCs w:val="22"/>
        </w:rPr>
        <w:t>GTR SPG shall be 1.15</w:t>
      </w:r>
    </w:p>
    <w:p w14:paraId="3B6F4536" w14:textId="77777777" w:rsidR="00600A57" w:rsidRPr="00024857" w:rsidRDefault="00600A57" w:rsidP="00600A57">
      <w:pPr>
        <w:pStyle w:val="ListParagraph"/>
        <w:tabs>
          <w:tab w:val="left" w:pos="360"/>
        </w:tabs>
        <w:ind w:left="0"/>
        <w:rPr>
          <w:rFonts w:cs="Arial"/>
          <w:b/>
          <w:bCs/>
          <w:szCs w:val="22"/>
        </w:rPr>
      </w:pPr>
    </w:p>
    <w:p w14:paraId="12A1AB5B" w14:textId="1A566D00" w:rsidR="00BC15AE" w:rsidRPr="00B45E57" w:rsidRDefault="00BC15AE" w:rsidP="00BC15AE">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007D6B17" w:rsidRPr="007D6B17">
        <w:rPr>
          <w:rFonts w:cs="Arial"/>
          <w:szCs w:val="22"/>
        </w:rPr>
        <w:t xml:space="preserve">Mix </w:t>
      </w:r>
      <w:proofErr w:type="spellStart"/>
      <w:r w:rsidR="007D6B17" w:rsidRPr="007D6B17">
        <w:rPr>
          <w:rFonts w:cs="Arial"/>
          <w:szCs w:val="22"/>
        </w:rPr>
        <w:t>G</w:t>
      </w:r>
      <w:r w:rsidR="007D6B17" w:rsidRPr="00F01C01">
        <w:rPr>
          <w:rFonts w:cs="Arial"/>
          <w:szCs w:val="22"/>
          <w:vertAlign w:val="subscript"/>
        </w:rPr>
        <w:t>sb</w:t>
      </w:r>
      <w:proofErr w:type="spellEnd"/>
      <w:r w:rsidR="007D6B17" w:rsidRPr="007D6B17">
        <w:rPr>
          <w:rFonts w:cs="Arial"/>
          <w:szCs w:val="22"/>
        </w:rPr>
        <w:t xml:space="preserve"> used to determine VMA shall be calculated as follows:</w:t>
      </w:r>
    </w:p>
    <w:p w14:paraId="2D8FC297" w14:textId="77777777" w:rsidR="00AF67E7" w:rsidRPr="00AF67E7" w:rsidRDefault="00101096" w:rsidP="00AF67E7">
      <w:pPr>
        <w:keepNext/>
        <w:keepLines/>
        <w:tabs>
          <w:tab w:val="left" w:pos="360"/>
        </w:tabs>
        <w:spacing w:before="240"/>
        <w:rPr>
          <w:rFonts w:eastAsiaTheme="minorEastAsia" w:cs="Arial"/>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 (JMF)</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bmv</m:t>
                      </m:r>
                    </m:sub>
                  </m:sSub>
                </m:e>
              </m:d>
            </m:num>
            <m:den>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6E6E1163" w14:textId="77777777" w:rsidR="00BC15AE" w:rsidRPr="0087096F" w:rsidRDefault="00BC15AE" w:rsidP="00BC15AE">
      <w:pPr>
        <w:pStyle w:val="ListParagraph"/>
        <w:keepNext/>
        <w:keepLines/>
        <w:tabs>
          <w:tab w:val="left" w:pos="360"/>
        </w:tabs>
        <w:spacing w:before="240"/>
        <w:ind w:left="0"/>
        <w:rPr>
          <w:rFonts w:eastAsiaTheme="minorEastAsia" w:cs="Arial"/>
          <w:bCs/>
          <w:szCs w:val="22"/>
        </w:rPr>
      </w:pPr>
    </w:p>
    <w:p w14:paraId="0F9DEECA" w14:textId="77777777" w:rsidR="00BC15AE" w:rsidRPr="0087096F" w:rsidRDefault="00BC15AE" w:rsidP="00BC15AE">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1AA1FF25" w14:textId="77777777" w:rsidR="00ED51D7" w:rsidRPr="007D582D" w:rsidRDefault="00101096" w:rsidP="00ED51D7">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53C5FED7" w14:textId="77777777" w:rsidR="00ED51D7" w:rsidRPr="00DF424D" w:rsidRDefault="00101096" w:rsidP="00ED51D7">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6DCE541F" w14:textId="77777777" w:rsidR="00ED51D7" w:rsidRPr="001E1094" w:rsidRDefault="00101096" w:rsidP="00ED51D7">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sidR="00ED51D7">
        <w:rPr>
          <w:rFonts w:eastAsiaTheme="minorEastAsia" w:cs="Arial"/>
          <w:szCs w:val="22"/>
        </w:rPr>
        <w:t xml:space="preserve"> </w:t>
      </w:r>
    </w:p>
    <w:p w14:paraId="1F7E172F" w14:textId="77777777" w:rsidR="00ED51D7" w:rsidRPr="005E3800" w:rsidRDefault="00101096" w:rsidP="00ED51D7">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434C2B88" w14:textId="77777777" w:rsidR="00ED51D7" w:rsidRPr="005E3800" w:rsidRDefault="00101096" w:rsidP="00ED51D7">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sidR="00ED51D7">
        <w:rPr>
          <w:rFonts w:eastAsiaTheme="minorEastAsia" w:cs="Arial"/>
          <w:szCs w:val="22"/>
        </w:rPr>
        <w:t xml:space="preserve"> </w:t>
      </w:r>
    </w:p>
    <w:p w14:paraId="5C2EE8DB" w14:textId="77777777" w:rsidR="00ED51D7" w:rsidRPr="00ED51D7" w:rsidRDefault="00101096" w:rsidP="00ED51D7">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34D22112" w14:textId="77777777" w:rsidR="00ED51D7" w:rsidRPr="005D25D6" w:rsidRDefault="00ED51D7" w:rsidP="00ED51D7">
      <w:pPr>
        <w:pStyle w:val="ListParagraph"/>
        <w:keepNext/>
        <w:keepLines/>
        <w:tabs>
          <w:tab w:val="left" w:pos="360"/>
        </w:tabs>
        <w:spacing w:before="240"/>
        <w:ind w:left="1123"/>
        <w:rPr>
          <w:rFonts w:eastAsiaTheme="minorEastAsia" w:cs="Arial"/>
          <w:szCs w:val="22"/>
        </w:rPr>
      </w:pPr>
    </w:p>
    <w:p w14:paraId="0085606B" w14:textId="77777777" w:rsidR="00BC15AE" w:rsidRPr="00D7458C" w:rsidRDefault="00BC15AE" w:rsidP="00264077">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17D099E1" w14:textId="77777777" w:rsidR="00BC15AE" w:rsidRPr="00D7458C" w:rsidRDefault="00101096" w:rsidP="00264077">
      <w:pPr>
        <w:keepLines/>
        <w:tabs>
          <w:tab w:val="left" w:pos="360"/>
        </w:tabs>
        <w:spacing w:before="240"/>
        <w:rPr>
          <w:rFonts w:cs="Arial"/>
          <w:b/>
          <w:bCs/>
          <w:szCs w:val="22"/>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se</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 xml:space="preserve">100-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num>
            <m:den>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100</m:t>
                      </m:r>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mm</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b</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b</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num>
                    <m:den>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GTR</m:t>
                          </m:r>
                        </m:sub>
                      </m:sSub>
                    </m:den>
                  </m:f>
                </m:e>
              </m:d>
            </m:den>
          </m:f>
        </m:oMath>
      </m:oMathPara>
    </w:p>
    <w:p w14:paraId="38ABF846" w14:textId="77777777" w:rsidR="00BC15AE" w:rsidRPr="0053612E" w:rsidRDefault="00BC15AE" w:rsidP="00BC15AE">
      <w:pPr>
        <w:pStyle w:val="ListParagraph"/>
        <w:keepNext/>
        <w:keepLines/>
        <w:tabs>
          <w:tab w:val="left" w:pos="360"/>
        </w:tabs>
        <w:spacing w:before="240"/>
        <w:ind w:left="0"/>
        <w:rPr>
          <w:rFonts w:cs="Arial"/>
          <w:b/>
          <w:bCs/>
          <w:szCs w:val="22"/>
        </w:rPr>
      </w:pPr>
      <w:r w:rsidRPr="007B4113">
        <w:rPr>
          <w:rFonts w:cs="Arial"/>
          <w:b/>
          <w:bCs/>
          <w:szCs w:val="22"/>
        </w:rPr>
        <w:lastRenderedPageBreak/>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386068DD" w14:textId="77777777" w:rsidR="00BC15AE" w:rsidRPr="00A159F6" w:rsidRDefault="00101096" w:rsidP="00BC15AE">
      <w:pPr>
        <w:keepNext/>
        <w:keepLines/>
        <w:tabs>
          <w:tab w:val="left" w:pos="360"/>
        </w:tabs>
        <w:spacing w:before="240"/>
        <w:rPr>
          <w:rFonts w:eastAsiaTheme="minorEastAsia" w:cs="Arial"/>
          <w:sz w:val="20"/>
          <w:szCs w:val="20"/>
        </w:rPr>
      </w:pPr>
      <m:oMathPara>
        <m:oMath>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be</m:t>
              </m:r>
            </m:sub>
          </m:sSub>
          <m:r>
            <w:rPr>
              <w:rFonts w:ascii="Cambria Math" w:hAnsi="Cambria Math"/>
              <w:sz w:val="20"/>
              <w:szCs w:val="20"/>
            </w:rPr>
            <m:t>=</m:t>
          </m:r>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m:t>
              </m:r>
            </m:sub>
          </m:sSub>
          <m:r>
            <w:rPr>
              <w:rFonts w:ascii="Cambria Math" w:hAnsi="Cambria Math"/>
              <w:sz w:val="20"/>
              <w:szCs w:val="20"/>
            </w:rPr>
            <m:t>-</m:t>
          </m:r>
          <m:f>
            <m:fPr>
              <m:ctrlPr>
                <w:rPr>
                  <w:rFonts w:ascii="Cambria Math" w:hAnsi="Cambria Math"/>
                  <w:bCs/>
                  <w:i/>
                  <w:sz w:val="20"/>
                  <w:szCs w:val="20"/>
                </w:rPr>
              </m:ctrlPr>
            </m:fPr>
            <m:num>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ba</m:t>
                  </m:r>
                </m:sub>
              </m:sSub>
            </m:num>
            <m:den>
              <m:r>
                <w:rPr>
                  <w:rFonts w:ascii="Cambria Math" w:hAnsi="Cambria Math"/>
                  <w:sz w:val="20"/>
                  <w:szCs w:val="20"/>
                </w:rPr>
                <m:t>100</m:t>
              </m:r>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GTR</m:t>
                  </m:r>
                </m:sub>
              </m:sSub>
            </m:e>
          </m:d>
        </m:oMath>
      </m:oMathPara>
    </w:p>
    <w:p w14:paraId="181EF744" w14:textId="77777777" w:rsidR="00A159F6" w:rsidRPr="001E3E24" w:rsidRDefault="00A159F6" w:rsidP="00BC15AE">
      <w:pPr>
        <w:keepNext/>
        <w:keepLines/>
        <w:tabs>
          <w:tab w:val="left" w:pos="360"/>
        </w:tabs>
        <w:spacing w:before="240"/>
        <w:rPr>
          <w:rFonts w:eastAsiaTheme="minorEastAsia" w:cs="Arial"/>
          <w:bCs/>
          <w:szCs w:val="22"/>
        </w:rPr>
      </w:pPr>
    </w:p>
    <w:p w14:paraId="1DDB77BA" w14:textId="77777777" w:rsidR="0091751C" w:rsidRPr="007E295F" w:rsidRDefault="0091751C" w:rsidP="0091751C">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078CEDD2" w14:textId="77777777" w:rsidR="0091751C" w:rsidRPr="0091751C" w:rsidRDefault="0091751C" w:rsidP="0091751C">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91751C" w:rsidRPr="0091751C" w14:paraId="438E5672" w14:textId="77777777" w:rsidTr="00AB2715">
        <w:trPr>
          <w:trHeight w:val="593"/>
          <w:jc w:val="center"/>
        </w:trPr>
        <w:tc>
          <w:tcPr>
            <w:tcW w:w="2281" w:type="dxa"/>
            <w:vAlign w:val="center"/>
          </w:tcPr>
          <w:p w14:paraId="448C3D32" w14:textId="77777777" w:rsidR="0091751C" w:rsidRPr="0091751C" w:rsidRDefault="0091751C" w:rsidP="00AB2715">
            <w:pPr>
              <w:keepNext/>
              <w:jc w:val="center"/>
              <w:rPr>
                <w:b/>
                <w:snapToGrid w:val="0"/>
                <w:color w:val="000000"/>
                <w:sz w:val="20"/>
                <w:szCs w:val="22"/>
              </w:rPr>
            </w:pPr>
            <w:r w:rsidRPr="0091751C">
              <w:rPr>
                <w:b/>
                <w:snapToGrid w:val="0"/>
                <w:color w:val="000000"/>
                <w:sz w:val="20"/>
                <w:szCs w:val="22"/>
              </w:rPr>
              <w:t>Contract Binder Grade</w:t>
            </w:r>
          </w:p>
        </w:tc>
        <w:tc>
          <w:tcPr>
            <w:tcW w:w="3294" w:type="dxa"/>
            <w:vAlign w:val="center"/>
          </w:tcPr>
          <w:p w14:paraId="531491F0" w14:textId="77777777" w:rsidR="0091751C" w:rsidRPr="0091751C" w:rsidRDefault="0091751C" w:rsidP="00AB2715">
            <w:pPr>
              <w:keepNext/>
              <w:jc w:val="center"/>
              <w:rPr>
                <w:b/>
                <w:snapToGrid w:val="0"/>
                <w:color w:val="000000"/>
                <w:sz w:val="20"/>
                <w:szCs w:val="22"/>
              </w:rPr>
            </w:pPr>
            <w:r w:rsidRPr="0091751C">
              <w:rPr>
                <w:b/>
                <w:snapToGrid w:val="0"/>
                <w:color w:val="000000"/>
                <w:sz w:val="20"/>
                <w:szCs w:val="22"/>
              </w:rPr>
              <w:t>Percent Effective Virgin Binder Replacement Limits</w:t>
            </w:r>
          </w:p>
        </w:tc>
        <w:tc>
          <w:tcPr>
            <w:tcW w:w="2250" w:type="dxa"/>
            <w:vAlign w:val="center"/>
          </w:tcPr>
          <w:p w14:paraId="572F77CE" w14:textId="77777777" w:rsidR="0091751C" w:rsidRPr="0091751C" w:rsidRDefault="0091751C" w:rsidP="00AB2715">
            <w:pPr>
              <w:keepNext/>
              <w:jc w:val="center"/>
              <w:rPr>
                <w:b/>
                <w:snapToGrid w:val="0"/>
                <w:color w:val="000000"/>
                <w:sz w:val="20"/>
                <w:szCs w:val="22"/>
              </w:rPr>
            </w:pPr>
            <w:r w:rsidRPr="0091751C">
              <w:rPr>
                <w:b/>
                <w:snapToGrid w:val="0"/>
                <w:color w:val="000000"/>
                <w:sz w:val="20"/>
                <w:szCs w:val="22"/>
              </w:rPr>
              <w:t>Required Virgin Binder Grade</w:t>
            </w:r>
          </w:p>
        </w:tc>
        <w:tc>
          <w:tcPr>
            <w:tcW w:w="1802" w:type="dxa"/>
            <w:vAlign w:val="center"/>
          </w:tcPr>
          <w:p w14:paraId="53140EF3" w14:textId="77777777" w:rsidR="0091751C" w:rsidRPr="0091751C" w:rsidRDefault="0091751C" w:rsidP="00AB2715">
            <w:pPr>
              <w:keepNext/>
              <w:jc w:val="center"/>
              <w:rPr>
                <w:b/>
                <w:snapToGrid w:val="0"/>
                <w:color w:val="000000"/>
                <w:sz w:val="20"/>
                <w:szCs w:val="22"/>
              </w:rPr>
            </w:pPr>
            <w:r w:rsidRPr="0091751C">
              <w:rPr>
                <w:b/>
                <w:snapToGrid w:val="0"/>
                <w:color w:val="000000"/>
                <w:sz w:val="20"/>
                <w:szCs w:val="22"/>
              </w:rPr>
              <w:t>Minimum GTR Dosage Rate</w:t>
            </w:r>
          </w:p>
        </w:tc>
      </w:tr>
      <w:tr w:rsidR="0091751C" w:rsidRPr="0091751C" w14:paraId="75249C82" w14:textId="77777777" w:rsidTr="00AB2715">
        <w:trPr>
          <w:trHeight w:val="360"/>
          <w:jc w:val="center"/>
        </w:trPr>
        <w:tc>
          <w:tcPr>
            <w:tcW w:w="2281" w:type="dxa"/>
            <w:vMerge w:val="restart"/>
            <w:vAlign w:val="center"/>
          </w:tcPr>
          <w:p w14:paraId="469728E8"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76-22</w:t>
            </w:r>
          </w:p>
        </w:tc>
        <w:tc>
          <w:tcPr>
            <w:tcW w:w="3294" w:type="dxa"/>
            <w:vMerge w:val="restart"/>
            <w:vAlign w:val="center"/>
          </w:tcPr>
          <w:p w14:paraId="30092FCA"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0 - 20</w:t>
            </w:r>
          </w:p>
        </w:tc>
        <w:tc>
          <w:tcPr>
            <w:tcW w:w="2250" w:type="dxa"/>
            <w:vAlign w:val="center"/>
          </w:tcPr>
          <w:p w14:paraId="6B7B1440"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70-22</w:t>
            </w:r>
          </w:p>
        </w:tc>
        <w:tc>
          <w:tcPr>
            <w:tcW w:w="1802" w:type="dxa"/>
            <w:vAlign w:val="center"/>
          </w:tcPr>
          <w:p w14:paraId="6BC4BA1B"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5 %</w:t>
            </w:r>
          </w:p>
        </w:tc>
      </w:tr>
      <w:tr w:rsidR="0091751C" w:rsidRPr="0091751C" w14:paraId="3F465F3A" w14:textId="77777777" w:rsidTr="00AB2715">
        <w:trPr>
          <w:trHeight w:val="360"/>
          <w:jc w:val="center"/>
        </w:trPr>
        <w:tc>
          <w:tcPr>
            <w:tcW w:w="2281" w:type="dxa"/>
            <w:vMerge/>
            <w:vAlign w:val="center"/>
          </w:tcPr>
          <w:p w14:paraId="18952D6D" w14:textId="77777777" w:rsidR="0091751C" w:rsidRPr="0091751C" w:rsidRDefault="0091751C" w:rsidP="00AB2715">
            <w:pPr>
              <w:keepNext/>
              <w:jc w:val="center"/>
              <w:rPr>
                <w:bCs/>
                <w:snapToGrid w:val="0"/>
                <w:color w:val="000000"/>
                <w:sz w:val="20"/>
                <w:szCs w:val="22"/>
              </w:rPr>
            </w:pPr>
          </w:p>
        </w:tc>
        <w:tc>
          <w:tcPr>
            <w:tcW w:w="3294" w:type="dxa"/>
            <w:vMerge/>
            <w:vAlign w:val="center"/>
          </w:tcPr>
          <w:p w14:paraId="2DFC6E5D" w14:textId="77777777" w:rsidR="0091751C" w:rsidRPr="0091751C" w:rsidRDefault="0091751C" w:rsidP="00AB2715">
            <w:pPr>
              <w:keepNext/>
              <w:jc w:val="center"/>
              <w:rPr>
                <w:bCs/>
                <w:snapToGrid w:val="0"/>
                <w:color w:val="000000"/>
                <w:sz w:val="20"/>
                <w:szCs w:val="22"/>
              </w:rPr>
            </w:pPr>
          </w:p>
        </w:tc>
        <w:tc>
          <w:tcPr>
            <w:tcW w:w="2250" w:type="dxa"/>
            <w:vAlign w:val="center"/>
          </w:tcPr>
          <w:p w14:paraId="4822AF5D"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14:paraId="75AE6ADC"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10 %</w:t>
            </w:r>
          </w:p>
        </w:tc>
      </w:tr>
      <w:tr w:rsidR="0091751C" w:rsidRPr="0091751C" w14:paraId="4DA2B138" w14:textId="77777777" w:rsidTr="00AB2715">
        <w:trPr>
          <w:trHeight w:val="360"/>
          <w:jc w:val="center"/>
        </w:trPr>
        <w:tc>
          <w:tcPr>
            <w:tcW w:w="2281" w:type="dxa"/>
            <w:vMerge w:val="restart"/>
            <w:vAlign w:val="center"/>
          </w:tcPr>
          <w:p w14:paraId="09BFFDBA"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70-22</w:t>
            </w:r>
          </w:p>
        </w:tc>
        <w:tc>
          <w:tcPr>
            <w:tcW w:w="3294" w:type="dxa"/>
            <w:vMerge w:val="restart"/>
            <w:vAlign w:val="center"/>
          </w:tcPr>
          <w:p w14:paraId="25759141"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0 - 30</w:t>
            </w:r>
          </w:p>
        </w:tc>
        <w:tc>
          <w:tcPr>
            <w:tcW w:w="2250" w:type="dxa"/>
            <w:vAlign w:val="center"/>
          </w:tcPr>
          <w:p w14:paraId="2A52256F"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64-22</w:t>
            </w:r>
          </w:p>
        </w:tc>
        <w:tc>
          <w:tcPr>
            <w:tcW w:w="1802" w:type="dxa"/>
            <w:vAlign w:val="center"/>
          </w:tcPr>
          <w:p w14:paraId="2C72DD5B"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5 %</w:t>
            </w:r>
          </w:p>
        </w:tc>
      </w:tr>
      <w:tr w:rsidR="0091751C" w:rsidRPr="0091751C" w14:paraId="0EBC5AA7" w14:textId="77777777" w:rsidTr="00AB2715">
        <w:trPr>
          <w:trHeight w:val="360"/>
          <w:jc w:val="center"/>
        </w:trPr>
        <w:tc>
          <w:tcPr>
            <w:tcW w:w="2281" w:type="dxa"/>
            <w:vMerge/>
            <w:vAlign w:val="center"/>
          </w:tcPr>
          <w:p w14:paraId="75757DEB" w14:textId="77777777" w:rsidR="0091751C" w:rsidRPr="0091751C" w:rsidRDefault="0091751C" w:rsidP="00AB2715">
            <w:pPr>
              <w:keepNext/>
              <w:jc w:val="center"/>
              <w:rPr>
                <w:bCs/>
                <w:snapToGrid w:val="0"/>
                <w:color w:val="000000"/>
                <w:sz w:val="20"/>
                <w:szCs w:val="22"/>
              </w:rPr>
            </w:pPr>
          </w:p>
        </w:tc>
        <w:tc>
          <w:tcPr>
            <w:tcW w:w="3294" w:type="dxa"/>
            <w:vMerge/>
            <w:vAlign w:val="center"/>
          </w:tcPr>
          <w:p w14:paraId="376C92A3" w14:textId="77777777" w:rsidR="0091751C" w:rsidRPr="0091751C" w:rsidRDefault="0091751C" w:rsidP="00AB2715">
            <w:pPr>
              <w:keepNext/>
              <w:jc w:val="center"/>
              <w:rPr>
                <w:bCs/>
                <w:snapToGrid w:val="0"/>
                <w:color w:val="000000"/>
                <w:sz w:val="20"/>
                <w:szCs w:val="22"/>
              </w:rPr>
            </w:pPr>
          </w:p>
        </w:tc>
        <w:tc>
          <w:tcPr>
            <w:tcW w:w="2250" w:type="dxa"/>
            <w:vAlign w:val="center"/>
          </w:tcPr>
          <w:p w14:paraId="5B425134"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14:paraId="1A321780"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10 %</w:t>
            </w:r>
          </w:p>
        </w:tc>
      </w:tr>
      <w:tr w:rsidR="0091751C" w:rsidRPr="0091751C" w14:paraId="16C9E94B" w14:textId="77777777" w:rsidTr="00AB2715">
        <w:trPr>
          <w:trHeight w:val="360"/>
          <w:jc w:val="center"/>
        </w:trPr>
        <w:tc>
          <w:tcPr>
            <w:tcW w:w="2281" w:type="dxa"/>
            <w:vMerge w:val="restart"/>
            <w:vAlign w:val="center"/>
          </w:tcPr>
          <w:p w14:paraId="6AEE6147"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64-22</w:t>
            </w:r>
          </w:p>
        </w:tc>
        <w:tc>
          <w:tcPr>
            <w:tcW w:w="3294" w:type="dxa"/>
            <w:vMerge w:val="restart"/>
            <w:vAlign w:val="center"/>
          </w:tcPr>
          <w:p w14:paraId="5616CBDD"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14:paraId="4397CCDA"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58-28</w:t>
            </w:r>
          </w:p>
        </w:tc>
        <w:tc>
          <w:tcPr>
            <w:tcW w:w="1802" w:type="dxa"/>
            <w:vAlign w:val="center"/>
          </w:tcPr>
          <w:p w14:paraId="319AB2CB"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5 %</w:t>
            </w:r>
          </w:p>
        </w:tc>
      </w:tr>
      <w:tr w:rsidR="0091751C" w:rsidRPr="0091751C" w14:paraId="6EA6F6CE" w14:textId="77777777" w:rsidTr="00AB2715">
        <w:trPr>
          <w:trHeight w:val="360"/>
          <w:jc w:val="center"/>
        </w:trPr>
        <w:tc>
          <w:tcPr>
            <w:tcW w:w="2281" w:type="dxa"/>
            <w:vMerge/>
            <w:vAlign w:val="center"/>
          </w:tcPr>
          <w:p w14:paraId="5B07AA07" w14:textId="77777777" w:rsidR="0091751C" w:rsidRPr="0091751C" w:rsidRDefault="0091751C" w:rsidP="00AB2715">
            <w:pPr>
              <w:keepNext/>
              <w:jc w:val="center"/>
              <w:rPr>
                <w:bCs/>
                <w:snapToGrid w:val="0"/>
                <w:color w:val="000000"/>
                <w:sz w:val="20"/>
                <w:szCs w:val="22"/>
              </w:rPr>
            </w:pPr>
          </w:p>
        </w:tc>
        <w:tc>
          <w:tcPr>
            <w:tcW w:w="3294" w:type="dxa"/>
            <w:vMerge/>
            <w:vAlign w:val="center"/>
          </w:tcPr>
          <w:p w14:paraId="5012A8D5" w14:textId="77777777" w:rsidR="0091751C" w:rsidRPr="0091751C" w:rsidRDefault="0091751C" w:rsidP="00AB2715">
            <w:pPr>
              <w:keepNext/>
              <w:jc w:val="center"/>
              <w:rPr>
                <w:bCs/>
                <w:snapToGrid w:val="0"/>
                <w:color w:val="000000"/>
                <w:sz w:val="20"/>
                <w:szCs w:val="22"/>
              </w:rPr>
            </w:pPr>
          </w:p>
        </w:tc>
        <w:tc>
          <w:tcPr>
            <w:tcW w:w="2250" w:type="dxa"/>
            <w:vAlign w:val="center"/>
          </w:tcPr>
          <w:p w14:paraId="76E3C87F"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14:paraId="1B8F972A"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10 %</w:t>
            </w:r>
          </w:p>
        </w:tc>
      </w:tr>
      <w:tr w:rsidR="0091751C" w:rsidRPr="0091751C" w14:paraId="5117A028" w14:textId="77777777" w:rsidTr="00AB2715">
        <w:trPr>
          <w:trHeight w:val="360"/>
          <w:jc w:val="center"/>
        </w:trPr>
        <w:tc>
          <w:tcPr>
            <w:tcW w:w="2281" w:type="dxa"/>
            <w:vMerge w:val="restart"/>
            <w:vAlign w:val="center"/>
          </w:tcPr>
          <w:p w14:paraId="165720CB"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58-28</w:t>
            </w:r>
          </w:p>
        </w:tc>
        <w:tc>
          <w:tcPr>
            <w:tcW w:w="3294" w:type="dxa"/>
            <w:vMerge w:val="restart"/>
            <w:vAlign w:val="center"/>
          </w:tcPr>
          <w:p w14:paraId="2791CB36"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0 – 40*</w:t>
            </w:r>
          </w:p>
        </w:tc>
        <w:tc>
          <w:tcPr>
            <w:tcW w:w="2250" w:type="dxa"/>
            <w:vAlign w:val="center"/>
          </w:tcPr>
          <w:p w14:paraId="1F2DAAB0"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PG 52-34</w:t>
            </w:r>
          </w:p>
        </w:tc>
        <w:tc>
          <w:tcPr>
            <w:tcW w:w="1802" w:type="dxa"/>
            <w:vAlign w:val="center"/>
          </w:tcPr>
          <w:p w14:paraId="35F9F423" w14:textId="77777777" w:rsidR="0091751C" w:rsidRPr="0091751C" w:rsidRDefault="0091751C" w:rsidP="00AB2715">
            <w:pPr>
              <w:keepNext/>
              <w:jc w:val="center"/>
              <w:rPr>
                <w:bCs/>
                <w:snapToGrid w:val="0"/>
                <w:color w:val="000000"/>
                <w:sz w:val="20"/>
                <w:szCs w:val="22"/>
              </w:rPr>
            </w:pPr>
            <w:r w:rsidRPr="0091751C">
              <w:rPr>
                <w:bCs/>
                <w:snapToGrid w:val="0"/>
                <w:color w:val="000000"/>
                <w:sz w:val="20"/>
                <w:szCs w:val="22"/>
              </w:rPr>
              <w:t>5 %</w:t>
            </w:r>
          </w:p>
        </w:tc>
      </w:tr>
      <w:tr w:rsidR="0091751C" w:rsidRPr="0091751C" w14:paraId="65ECBEEC" w14:textId="77777777" w:rsidTr="00AB2715">
        <w:trPr>
          <w:trHeight w:val="360"/>
          <w:jc w:val="center"/>
        </w:trPr>
        <w:tc>
          <w:tcPr>
            <w:tcW w:w="2281" w:type="dxa"/>
            <w:vMerge/>
            <w:vAlign w:val="center"/>
          </w:tcPr>
          <w:p w14:paraId="1267F646" w14:textId="77777777" w:rsidR="0091751C" w:rsidRPr="0091751C" w:rsidRDefault="0091751C" w:rsidP="0091751C">
            <w:pPr>
              <w:jc w:val="center"/>
              <w:rPr>
                <w:bCs/>
                <w:snapToGrid w:val="0"/>
                <w:color w:val="000000"/>
                <w:sz w:val="20"/>
                <w:szCs w:val="22"/>
              </w:rPr>
            </w:pPr>
          </w:p>
        </w:tc>
        <w:tc>
          <w:tcPr>
            <w:tcW w:w="3294" w:type="dxa"/>
            <w:vMerge/>
            <w:vAlign w:val="center"/>
          </w:tcPr>
          <w:p w14:paraId="395FA9CE" w14:textId="77777777" w:rsidR="0091751C" w:rsidRPr="0091751C" w:rsidRDefault="0091751C" w:rsidP="0091751C">
            <w:pPr>
              <w:jc w:val="center"/>
              <w:rPr>
                <w:bCs/>
                <w:snapToGrid w:val="0"/>
                <w:color w:val="000000"/>
                <w:sz w:val="20"/>
                <w:szCs w:val="22"/>
              </w:rPr>
            </w:pPr>
          </w:p>
        </w:tc>
        <w:tc>
          <w:tcPr>
            <w:tcW w:w="2250" w:type="dxa"/>
            <w:vAlign w:val="center"/>
          </w:tcPr>
          <w:p w14:paraId="26021D87" w14:textId="77777777" w:rsidR="0091751C" w:rsidRPr="0091751C" w:rsidRDefault="0091751C" w:rsidP="0091751C">
            <w:pPr>
              <w:jc w:val="center"/>
              <w:rPr>
                <w:bCs/>
                <w:snapToGrid w:val="0"/>
                <w:color w:val="000000"/>
                <w:sz w:val="20"/>
                <w:szCs w:val="22"/>
              </w:rPr>
            </w:pPr>
            <w:r w:rsidRPr="0091751C">
              <w:rPr>
                <w:bCs/>
                <w:snapToGrid w:val="0"/>
                <w:color w:val="000000"/>
                <w:sz w:val="20"/>
                <w:szCs w:val="22"/>
              </w:rPr>
              <w:t>PG 46-34</w:t>
            </w:r>
          </w:p>
        </w:tc>
        <w:tc>
          <w:tcPr>
            <w:tcW w:w="1802" w:type="dxa"/>
            <w:vAlign w:val="center"/>
          </w:tcPr>
          <w:p w14:paraId="3A3387C7" w14:textId="77777777" w:rsidR="0091751C" w:rsidRPr="0091751C" w:rsidRDefault="0091751C" w:rsidP="0091751C">
            <w:pPr>
              <w:jc w:val="center"/>
              <w:rPr>
                <w:bCs/>
                <w:snapToGrid w:val="0"/>
                <w:color w:val="000000"/>
                <w:sz w:val="20"/>
                <w:szCs w:val="22"/>
              </w:rPr>
            </w:pPr>
            <w:r w:rsidRPr="0091751C">
              <w:rPr>
                <w:bCs/>
                <w:snapToGrid w:val="0"/>
                <w:color w:val="000000"/>
                <w:sz w:val="20"/>
                <w:szCs w:val="22"/>
              </w:rPr>
              <w:t>10 %</w:t>
            </w:r>
          </w:p>
        </w:tc>
      </w:tr>
    </w:tbl>
    <w:p w14:paraId="46655793" w14:textId="77777777" w:rsidR="0091751C" w:rsidRPr="0091751C" w:rsidRDefault="0091751C" w:rsidP="0091751C">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38946A39" w14:textId="30BBD2FE" w:rsidR="00261098" w:rsidRDefault="00261098" w:rsidP="00440C35">
      <w:pPr>
        <w:rPr>
          <w:bCs/>
          <w:snapToGrid w:val="0"/>
          <w:color w:val="000000"/>
          <w:szCs w:val="22"/>
        </w:rPr>
      </w:pPr>
    </w:p>
    <w:p w14:paraId="742F8A63" w14:textId="77777777" w:rsidR="000553B4" w:rsidRDefault="000553B4" w:rsidP="00440C35">
      <w:pPr>
        <w:rPr>
          <w:bCs/>
          <w:snapToGrid w:val="0"/>
          <w:color w:val="000000"/>
          <w:szCs w:val="22"/>
        </w:rPr>
      </w:pPr>
    </w:p>
    <w:p w14:paraId="37F9FCC0" w14:textId="0069BA41" w:rsidR="007F5D3A" w:rsidRDefault="007F5D3A" w:rsidP="007F5D3A">
      <w:pPr>
        <w:rPr>
          <w:rFonts w:ascii="Calibri" w:hAnsi="Calibri"/>
          <w:b/>
          <w:bCs/>
          <w:i/>
          <w:iCs/>
          <w:szCs w:val="22"/>
        </w:rPr>
      </w:pPr>
      <w:r>
        <w:rPr>
          <w:b/>
          <w:bCs/>
          <w:i/>
          <w:iCs/>
        </w:rPr>
        <w:t>Delete Sec 403.19.2 and substitute the following:</w:t>
      </w:r>
    </w:p>
    <w:p w14:paraId="7C9935C8" w14:textId="77777777" w:rsidR="00663BF0" w:rsidRPr="007E3B00" w:rsidRDefault="00663BF0" w:rsidP="003A2A25">
      <w:pPr>
        <w:pStyle w:val="CommentText"/>
        <w:jc w:val="both"/>
        <w:rPr>
          <w:rFonts w:ascii="Arial" w:hAnsi="Arial" w:cs="Arial"/>
          <w:color w:val="000000"/>
          <w:sz w:val="22"/>
          <w:szCs w:val="22"/>
        </w:rPr>
      </w:pPr>
    </w:p>
    <w:p w14:paraId="5E69AD1E" w14:textId="77E148AB" w:rsidR="007C2BB9" w:rsidRDefault="007C2BB9" w:rsidP="007C2BB9">
      <w:pPr>
        <w:rPr>
          <w:snapToGrid w:val="0"/>
          <w:color w:val="000000"/>
        </w:rPr>
      </w:pPr>
      <w:r>
        <w:rPr>
          <w:b/>
          <w:bCs/>
          <w:snapToGrid w:val="0"/>
          <w:color w:val="000000"/>
        </w:rPr>
        <w:t>403.19.2 Lots.</w:t>
      </w:r>
      <w:r w:rsidR="0089580D">
        <w:rPr>
          <w:b/>
          <w:bCs/>
          <w:snapToGrid w:val="0"/>
          <w:color w:val="000000"/>
        </w:rPr>
        <w:t xml:space="preserve"> </w:t>
      </w:r>
      <w:r>
        <w:rPr>
          <w:snapToGrid w:val="0"/>
          <w:color w:val="000000"/>
        </w:rPr>
        <w:t xml:space="preserve"> The lot size shall be designated in the contractor’s QC Plan.</w:t>
      </w:r>
      <w:r w:rsidR="0089580D">
        <w:rPr>
          <w:snapToGrid w:val="0"/>
          <w:color w:val="000000"/>
        </w:rPr>
        <w:t xml:space="preserve"> </w:t>
      </w:r>
      <w:r>
        <w:rPr>
          <w:snapToGrid w:val="0"/>
          <w:color w:val="000000"/>
        </w:rPr>
        <w:t xml:space="preserve"> Each lot shall contain no less than four sublots and the maximum sublot size shall be 1,000 tons. </w:t>
      </w:r>
      <w:r w:rsidR="0089580D">
        <w:rPr>
          <w:snapToGrid w:val="0"/>
          <w:color w:val="000000"/>
        </w:rPr>
        <w:t xml:space="preserve"> </w:t>
      </w:r>
      <w:r>
        <w:rPr>
          <w:snapToGrid w:val="0"/>
          <w:color w:val="000000"/>
        </w:rPr>
        <w:t xml:space="preserve">The maximum lot size shall be 4,000 tons for determination of pay factors. </w:t>
      </w:r>
      <w:r w:rsidR="0089580D">
        <w:rPr>
          <w:snapToGrid w:val="0"/>
          <w:color w:val="000000"/>
        </w:rPr>
        <w:t xml:space="preserve"> </w:t>
      </w:r>
      <w:r>
        <w:rPr>
          <w:snapToGrid w:val="0"/>
          <w:color w:val="000000"/>
        </w:rPr>
        <w:t xml:space="preserve">Sublots from incomplete lots shall be combined with the previous complete lot for determination of pay factors. </w:t>
      </w:r>
      <w:r w:rsidR="0089580D">
        <w:rPr>
          <w:snapToGrid w:val="0"/>
          <w:color w:val="000000"/>
        </w:rPr>
        <w:t xml:space="preserve"> </w:t>
      </w:r>
      <w:r>
        <w:rPr>
          <w:snapToGrid w:val="0"/>
          <w:color w:val="000000"/>
        </w:rPr>
        <w:t xml:space="preserve">When no previous lot exists, the mixture shall be treated in accordance with </w:t>
      </w:r>
      <w:r>
        <w:rPr>
          <w:snapToGrid w:val="0"/>
          <w:color w:val="0000FF"/>
        </w:rPr>
        <w:t>Sec 403.23.7.4.1</w:t>
      </w:r>
      <w:r>
        <w:rPr>
          <w:snapToGrid w:val="0"/>
          <w:color w:val="000000"/>
        </w:rPr>
        <w:t xml:space="preserve">. </w:t>
      </w:r>
      <w:r w:rsidR="0089580D">
        <w:rPr>
          <w:snapToGrid w:val="0"/>
          <w:color w:val="000000"/>
        </w:rPr>
        <w:t xml:space="preserve"> </w:t>
      </w:r>
      <w:r>
        <w:rPr>
          <w:snapToGrid w:val="0"/>
          <w:color w:val="000000"/>
        </w:rPr>
        <w:t xml:space="preserve">A new lot shall begin when the asphalt content of a mixture is adjusted in accordance with </w:t>
      </w:r>
      <w:r>
        <w:rPr>
          <w:snapToGrid w:val="0"/>
          <w:color w:val="0000FF"/>
        </w:rPr>
        <w:t>Sec 403.11</w:t>
      </w:r>
      <w:r>
        <w:rPr>
          <w:snapToGrid w:val="0"/>
          <w:color w:val="000000"/>
        </w:rPr>
        <w:t>.</w:t>
      </w:r>
    </w:p>
    <w:p w14:paraId="614A75BA" w14:textId="00A202A9" w:rsidR="00871417" w:rsidRDefault="00871417" w:rsidP="007C2BB9">
      <w:pPr>
        <w:rPr>
          <w:snapToGrid w:val="0"/>
          <w:color w:val="000000"/>
        </w:rPr>
      </w:pPr>
    </w:p>
    <w:p w14:paraId="624CB85E" w14:textId="77777777" w:rsidR="00871417" w:rsidRDefault="00871417" w:rsidP="007C2BB9">
      <w:pPr>
        <w:rPr>
          <w:snapToGrid w:val="0"/>
          <w:color w:val="000000"/>
        </w:rPr>
      </w:pPr>
    </w:p>
    <w:p w14:paraId="307E82E8" w14:textId="7471527E" w:rsidR="00871417" w:rsidRDefault="00871417" w:rsidP="007C2BB9">
      <w:pPr>
        <w:rPr>
          <w:snapToGrid w:val="0"/>
          <w:color w:val="000000"/>
        </w:rPr>
      </w:pPr>
      <w:r>
        <w:rPr>
          <w:b/>
          <w:bCs/>
          <w:i/>
          <w:iCs/>
        </w:rPr>
        <w:t xml:space="preserve">Delete Sec 106.9 </w:t>
      </w:r>
      <w:r w:rsidR="00527A22">
        <w:rPr>
          <w:b/>
          <w:bCs/>
          <w:i/>
          <w:iCs/>
        </w:rPr>
        <w:t xml:space="preserve">in its entirety </w:t>
      </w:r>
      <w:r>
        <w:rPr>
          <w:b/>
          <w:bCs/>
          <w:i/>
          <w:iCs/>
        </w:rPr>
        <w:t>and substitute the following:</w:t>
      </w:r>
    </w:p>
    <w:p w14:paraId="30AA8DE2" w14:textId="6396DB34" w:rsidR="00440C35" w:rsidRDefault="00440C35" w:rsidP="004C1B5A"/>
    <w:p w14:paraId="7D572298" w14:textId="3156024C" w:rsidR="00871417" w:rsidRPr="00871417" w:rsidRDefault="00871417" w:rsidP="00871417">
      <w:pPr>
        <w:rPr>
          <w:rFonts w:cs="Arial"/>
          <w:szCs w:val="22"/>
        </w:rPr>
      </w:pPr>
      <w:r w:rsidRPr="00871417">
        <w:rPr>
          <w:rFonts w:cs="Arial"/>
          <w:b/>
          <w:bCs/>
          <w:szCs w:val="22"/>
        </w:rPr>
        <w:t>106.9 Buy America Requirements</w:t>
      </w:r>
      <w:r w:rsidR="0089580D">
        <w:rPr>
          <w:rFonts w:cs="Arial"/>
          <w:b/>
          <w:bCs/>
          <w:szCs w:val="22"/>
        </w:rPr>
        <w:t>.</w:t>
      </w:r>
    </w:p>
    <w:p w14:paraId="12D726F8" w14:textId="0ACF1A12" w:rsidR="00871417" w:rsidRDefault="00871417" w:rsidP="00871417">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4627D58B" w14:textId="77777777" w:rsidR="00871417" w:rsidRPr="00871417" w:rsidRDefault="00871417" w:rsidP="00871417">
      <w:pPr>
        <w:rPr>
          <w:rFonts w:cs="Arial"/>
          <w:szCs w:val="22"/>
        </w:rPr>
      </w:pPr>
    </w:p>
    <w:p w14:paraId="62FEB469" w14:textId="7B9655CC" w:rsidR="00871417" w:rsidRPr="00871417" w:rsidRDefault="00871417" w:rsidP="00871417">
      <w:pPr>
        <w:rPr>
          <w:rFonts w:cs="Arial"/>
          <w:szCs w:val="22"/>
        </w:rPr>
      </w:pPr>
      <w:r w:rsidRPr="00871417">
        <w:rPr>
          <w:rFonts w:cs="Arial"/>
          <w:b/>
          <w:bCs/>
          <w:szCs w:val="22"/>
        </w:rPr>
        <w:t xml:space="preserve">106.9.1 </w:t>
      </w:r>
      <w:r w:rsidRPr="00871417">
        <w:rPr>
          <w:rFonts w:cs="Arial"/>
          <w:szCs w:val="22"/>
        </w:rPr>
        <w:t xml:space="preserve"> </w:t>
      </w:r>
      <w:r w:rsidRPr="00871417">
        <w:rPr>
          <w:rFonts w:cs="Arial"/>
          <w:b/>
          <w:bCs/>
          <w:szCs w:val="22"/>
        </w:rPr>
        <w:t>Buy America Requirements for Iron and Steel.</w:t>
      </w:r>
    </w:p>
    <w:p w14:paraId="605C0273" w14:textId="026CBA95" w:rsidR="00871417" w:rsidRDefault="00871417" w:rsidP="00871417">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sidR="0089580D">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sidR="0089580D">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w:t>
      </w:r>
      <w:r w:rsidR="00695053" w:rsidRPr="00871417">
        <w:rPr>
          <w:rFonts w:cs="Arial"/>
          <w:szCs w:val="22"/>
        </w:rPr>
        <w:t>pelletized,</w:t>
      </w:r>
      <w:r w:rsidRPr="00871417">
        <w:rPr>
          <w:rFonts w:cs="Arial"/>
          <w:szCs w:val="22"/>
        </w:rPr>
        <w:t xml:space="preserve"> and reduced iron ore manufactured </w:t>
      </w:r>
      <w:r w:rsidRPr="00871417">
        <w:rPr>
          <w:rFonts w:cs="Arial"/>
          <w:szCs w:val="22"/>
        </w:rPr>
        <w:lastRenderedPageBreak/>
        <w:t xml:space="preserve">outside of the USA will be permitted in the domestic manufacturing process for steel or iron material. </w:t>
      </w:r>
    </w:p>
    <w:p w14:paraId="5D80759F" w14:textId="77777777" w:rsidR="00871417" w:rsidRPr="00871417" w:rsidRDefault="00871417" w:rsidP="00871417">
      <w:pPr>
        <w:rPr>
          <w:rFonts w:cs="Arial"/>
          <w:szCs w:val="22"/>
        </w:rPr>
      </w:pPr>
    </w:p>
    <w:p w14:paraId="44D6DB9B" w14:textId="19CAFDCD" w:rsidR="00871417" w:rsidRPr="00871417" w:rsidRDefault="00871417" w:rsidP="00871417">
      <w:pPr>
        <w:rPr>
          <w:rFonts w:cs="Arial"/>
          <w:b/>
          <w:bCs/>
          <w:szCs w:val="22"/>
        </w:rPr>
      </w:pPr>
      <w:r w:rsidRPr="00871417">
        <w:rPr>
          <w:rFonts w:cs="Arial"/>
          <w:b/>
          <w:bCs/>
          <w:szCs w:val="22"/>
        </w:rPr>
        <w:t>106.9.</w:t>
      </w:r>
      <w:r w:rsidR="00527A22">
        <w:rPr>
          <w:rFonts w:cs="Arial"/>
          <w:b/>
          <w:bCs/>
          <w:szCs w:val="22"/>
        </w:rPr>
        <w:t>1.1</w:t>
      </w:r>
      <w:r w:rsidRPr="00871417">
        <w:rPr>
          <w:rFonts w:cs="Arial"/>
          <w:b/>
          <w:bCs/>
          <w:szCs w:val="22"/>
        </w:rPr>
        <w:t xml:space="preserve">  Buy America Requirements for Iron and Steel for Manufactured items.</w:t>
      </w:r>
    </w:p>
    <w:p w14:paraId="01B39D62" w14:textId="242D3CFD" w:rsidR="00871417" w:rsidRDefault="00871417" w:rsidP="00871417">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76898E3F" w14:textId="77777777" w:rsidR="00871417" w:rsidRPr="00871417" w:rsidRDefault="00871417" w:rsidP="00871417">
      <w:pPr>
        <w:rPr>
          <w:rFonts w:cs="Arial"/>
          <w:szCs w:val="22"/>
        </w:rPr>
      </w:pPr>
    </w:p>
    <w:p w14:paraId="62A9646F" w14:textId="62C21617" w:rsidR="00871417" w:rsidRDefault="00871417" w:rsidP="00871417">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sidR="0089580D">
        <w:rPr>
          <w:rFonts w:cs="Arial"/>
          <w:szCs w:val="22"/>
        </w:rPr>
        <w:t xml:space="preserve"> </w:t>
      </w:r>
      <w:r w:rsidRPr="00871417">
        <w:rPr>
          <w:rFonts w:cs="Arial"/>
          <w:szCs w:val="22"/>
        </w:rPr>
        <w:t>Coatings shall include any surface finish that protects or adds value to the product.</w:t>
      </w:r>
    </w:p>
    <w:p w14:paraId="59B6E4F6" w14:textId="77777777" w:rsidR="00871417" w:rsidRPr="00871417" w:rsidRDefault="00871417" w:rsidP="00871417">
      <w:pPr>
        <w:rPr>
          <w:rFonts w:cs="Arial"/>
          <w:szCs w:val="22"/>
        </w:rPr>
      </w:pPr>
    </w:p>
    <w:p w14:paraId="177EDA22" w14:textId="42C8E83F" w:rsidR="00871417" w:rsidRDefault="00871417" w:rsidP="00871417">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sidR="0089580D">
        <w:rPr>
          <w:rFonts w:cs="Arial"/>
          <w:szCs w:val="22"/>
        </w:rPr>
        <w:t xml:space="preserve"> </w:t>
      </w:r>
      <w:r w:rsidRPr="00871417">
        <w:rPr>
          <w:rFonts w:cs="Arial"/>
          <w:szCs w:val="22"/>
        </w:rPr>
        <w:t xml:space="preserve">If foreign steel, </w:t>
      </w:r>
      <w:r w:rsidR="00160EF1" w:rsidRPr="00871417">
        <w:rPr>
          <w:rFonts w:cs="Arial"/>
          <w:szCs w:val="22"/>
        </w:rPr>
        <w:t>iron,</w:t>
      </w:r>
      <w:r w:rsidRPr="00871417">
        <w:rPr>
          <w:rFonts w:cs="Arial"/>
          <w:szCs w:val="22"/>
        </w:rPr>
        <w:t xml:space="preserve"> or coating processes are used, invoices to document the cost of the foreign portion, as delivered to the project, shall be provided and the engineer’s written approval obtained prior to placing the material in any work. </w:t>
      </w:r>
    </w:p>
    <w:p w14:paraId="6F74EAD9" w14:textId="77777777" w:rsidR="00871417" w:rsidRPr="00871417" w:rsidRDefault="00871417" w:rsidP="00871417">
      <w:pPr>
        <w:rPr>
          <w:rFonts w:cs="Arial"/>
          <w:szCs w:val="22"/>
        </w:rPr>
      </w:pPr>
    </w:p>
    <w:p w14:paraId="788312BB" w14:textId="4339CF3D" w:rsidR="00871417" w:rsidRDefault="00871417" w:rsidP="00871417">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sidR="005428A1">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sidR="0089580D">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sidR="005428A1">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2270BDA6" w14:textId="77777777" w:rsidR="00871417" w:rsidRPr="00871417" w:rsidRDefault="00871417" w:rsidP="00871417">
      <w:pPr>
        <w:rPr>
          <w:rFonts w:cs="Arial"/>
          <w:szCs w:val="22"/>
        </w:rPr>
      </w:pPr>
    </w:p>
    <w:p w14:paraId="57727B9B" w14:textId="3CCF3F87" w:rsidR="00871417" w:rsidRDefault="00871417" w:rsidP="00871417">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sidR="0089580D">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sidR="005428A1">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sidR="005428A1">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54829865" w14:textId="77777777" w:rsidR="00871417" w:rsidRPr="00871417" w:rsidRDefault="00871417" w:rsidP="00871417">
      <w:pPr>
        <w:rPr>
          <w:rFonts w:cs="Arial"/>
          <w:szCs w:val="22"/>
        </w:rPr>
      </w:pPr>
    </w:p>
    <w:p w14:paraId="5DFCC3E5" w14:textId="7C9316C8" w:rsidR="00871417" w:rsidRDefault="00871417" w:rsidP="00871417">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sidR="0089580D">
        <w:rPr>
          <w:rFonts w:cs="Arial"/>
          <w:szCs w:val="22"/>
        </w:rPr>
        <w:t xml:space="preserve"> </w:t>
      </w:r>
      <w:r w:rsidRPr="00871417">
        <w:rPr>
          <w:rFonts w:cs="Arial"/>
          <w:szCs w:val="22"/>
        </w:rPr>
        <w:t>Category 2 items shall consist of, but not be limited to items such as fencing, guardrail, signing, lighting and signal supports.</w:t>
      </w:r>
      <w:r w:rsidR="005428A1">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sidR="005428A1">
        <w:rPr>
          <w:rFonts w:cs="Arial"/>
          <w:szCs w:val="22"/>
        </w:rPr>
        <w:t xml:space="preserve"> </w:t>
      </w:r>
      <w:r w:rsidRPr="00871417">
        <w:rPr>
          <w:rFonts w:cs="Arial"/>
          <w:szCs w:val="22"/>
        </w:rPr>
        <w:t>The Certificate of Materials Origin form (</w:t>
      </w:r>
      <w:hyperlink r:id="rId12"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sidR="005428A1">
        <w:rPr>
          <w:rFonts w:cs="Arial"/>
          <w:szCs w:val="22"/>
        </w:rPr>
        <w:t xml:space="preserve"> </w:t>
      </w:r>
      <w:r w:rsidRPr="00871417">
        <w:rPr>
          <w:rFonts w:cs="Arial"/>
          <w:szCs w:val="22"/>
        </w:rPr>
        <w:t xml:space="preserve"> The </w:t>
      </w:r>
      <w:r w:rsidR="0013602D">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sidR="005428A1">
        <w:rPr>
          <w:rFonts w:cs="Arial"/>
          <w:szCs w:val="22"/>
        </w:rPr>
        <w:t xml:space="preserve"> </w:t>
      </w:r>
      <w:r w:rsidRPr="00871417">
        <w:rPr>
          <w:rFonts w:cs="Arial"/>
          <w:szCs w:val="22"/>
        </w:rPr>
        <w:t xml:space="preserve">These documents shall be submitted upon request by the </w:t>
      </w:r>
      <w:r w:rsidR="0013602D">
        <w:rPr>
          <w:rFonts w:cs="Arial"/>
          <w:szCs w:val="22"/>
        </w:rPr>
        <w:t>e</w:t>
      </w:r>
      <w:r w:rsidRPr="00871417">
        <w:rPr>
          <w:rFonts w:cs="Arial"/>
          <w:szCs w:val="22"/>
        </w:rPr>
        <w:t xml:space="preserve">ngineer and retained for a period of 3 years after the last reimbursement of the material. </w:t>
      </w:r>
    </w:p>
    <w:p w14:paraId="4C85A843" w14:textId="77777777" w:rsidR="00871417" w:rsidRPr="00871417" w:rsidRDefault="00871417" w:rsidP="00871417">
      <w:pPr>
        <w:rPr>
          <w:rFonts w:cs="Arial"/>
          <w:szCs w:val="22"/>
        </w:rPr>
      </w:pPr>
    </w:p>
    <w:p w14:paraId="44F4192F" w14:textId="75C4E380" w:rsidR="00871417" w:rsidRDefault="00871417" w:rsidP="00871417">
      <w:pPr>
        <w:rPr>
          <w:rFonts w:cs="Arial"/>
          <w:szCs w:val="22"/>
        </w:rPr>
      </w:pPr>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sidR="005428A1">
        <w:rPr>
          <w:rFonts w:cs="Arial"/>
          <w:szCs w:val="22"/>
        </w:rPr>
        <w:t xml:space="preserve"> </w:t>
      </w:r>
      <w:r w:rsidRPr="00871417">
        <w:rPr>
          <w:rFonts w:cs="Arial"/>
          <w:szCs w:val="22"/>
        </w:rPr>
        <w:t xml:space="preserve">Examples </w:t>
      </w:r>
      <w:r w:rsidRPr="00871417">
        <w:rPr>
          <w:rFonts w:cs="Arial"/>
          <w:szCs w:val="22"/>
        </w:rPr>
        <w:lastRenderedPageBreak/>
        <w:t xml:space="preserve">of these items would be bolts for </w:t>
      </w:r>
      <w:proofErr w:type="gramStart"/>
      <w:r w:rsidRPr="00871417">
        <w:rPr>
          <w:rFonts w:cs="Arial"/>
          <w:szCs w:val="22"/>
        </w:rPr>
        <w:t>sign posts</w:t>
      </w:r>
      <w:proofErr w:type="gramEnd"/>
      <w:r w:rsidRPr="00871417">
        <w:rPr>
          <w:rFonts w:cs="Arial"/>
          <w:szCs w:val="22"/>
        </w:rPr>
        <w:t>, anchorage inserts, etc.</w:t>
      </w:r>
      <w:r w:rsidR="005428A1">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sidR="0089580D">
        <w:rPr>
          <w:rFonts w:cs="Arial"/>
          <w:szCs w:val="22"/>
        </w:rPr>
        <w:t xml:space="preserve"> </w:t>
      </w:r>
      <w:r w:rsidRPr="00871417">
        <w:rPr>
          <w:rFonts w:cs="Arial"/>
          <w:szCs w:val="22"/>
        </w:rPr>
        <w:t xml:space="preserve">Any foreign steel used was submitted and accepted under minor usage”. </w:t>
      </w:r>
      <w:r w:rsidR="0089580D">
        <w:rPr>
          <w:rFonts w:cs="Arial"/>
          <w:szCs w:val="22"/>
        </w:rPr>
        <w:t xml:space="preserve"> </w:t>
      </w:r>
      <w:r w:rsidRPr="00871417">
        <w:rPr>
          <w:rFonts w:cs="Arial"/>
          <w:szCs w:val="22"/>
        </w:rPr>
        <w:t>The certification shall be signed by an authorized representative of the prime contractor.</w:t>
      </w:r>
    </w:p>
    <w:p w14:paraId="6BA0F86D" w14:textId="77777777" w:rsidR="00DB462F" w:rsidRPr="00871417" w:rsidRDefault="00DB462F" w:rsidP="00871417">
      <w:pPr>
        <w:rPr>
          <w:rFonts w:cs="Arial"/>
          <w:szCs w:val="22"/>
        </w:rPr>
      </w:pPr>
    </w:p>
    <w:p w14:paraId="6376F69D" w14:textId="1D588DF4" w:rsidR="00871417" w:rsidRDefault="00871417" w:rsidP="00871417">
      <w:pPr>
        <w:rPr>
          <w:rFonts w:cs="Arial"/>
          <w:szCs w:val="22"/>
        </w:rPr>
      </w:pPr>
      <w:r w:rsidRPr="00871417">
        <w:rPr>
          <w:rFonts w:cs="Arial"/>
          <w:b/>
          <w:bCs/>
          <w:szCs w:val="22"/>
        </w:rPr>
        <w:t>106.9.5</w:t>
      </w:r>
      <w:r w:rsidRPr="00871417">
        <w:rPr>
          <w:rFonts w:cs="Arial"/>
          <w:szCs w:val="22"/>
        </w:rPr>
        <w:t xml:space="preserve"> </w:t>
      </w:r>
      <w:r w:rsidR="00101096">
        <w:rPr>
          <w:rFonts w:cs="Arial"/>
          <w:szCs w:val="22"/>
        </w:rPr>
        <w:t xml:space="preserve"> </w:t>
      </w:r>
      <w:r w:rsidRPr="00871417">
        <w:rPr>
          <w:rFonts w:cs="Arial"/>
          <w:szCs w:val="22"/>
        </w:rPr>
        <w:t xml:space="preserve">When permitted in the contract, alternate bids may be submitted for foreign steel and iron products. </w:t>
      </w:r>
      <w:r w:rsidR="00101096">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sidR="005428A1">
        <w:rPr>
          <w:rFonts w:cs="Arial"/>
          <w:szCs w:val="22"/>
        </w:rPr>
        <w:t xml:space="preserve"> </w:t>
      </w:r>
      <w:r w:rsidRPr="00871417">
        <w:rPr>
          <w:rFonts w:cs="Arial"/>
          <w:szCs w:val="22"/>
        </w:rPr>
        <w:t xml:space="preserve"> If foreign steel or iron products are awarded </w:t>
      </w:r>
      <w:r w:rsidR="00101096">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72CAEBA8" w14:textId="77777777" w:rsidR="00871417" w:rsidRPr="00871417" w:rsidRDefault="00871417" w:rsidP="00871417">
      <w:pPr>
        <w:rPr>
          <w:rFonts w:cs="Arial"/>
          <w:szCs w:val="22"/>
        </w:rPr>
      </w:pPr>
    </w:p>
    <w:p w14:paraId="583C5469" w14:textId="4D33624D" w:rsidR="00871417" w:rsidRPr="00102DCC" w:rsidRDefault="00871417" w:rsidP="00965F91">
      <w:pPr>
        <w:pStyle w:val="CommentText"/>
        <w:jc w:val="both"/>
        <w:rPr>
          <w:rFonts w:cs="Arial"/>
          <w:szCs w:val="22"/>
        </w:rPr>
      </w:pPr>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sidR="00242F3C">
        <w:rPr>
          <w:rFonts w:ascii="Arial" w:hAnsi="Arial" w:cs="Arial"/>
          <w:sz w:val="22"/>
          <w:szCs w:val="22"/>
        </w:rPr>
        <w:t xml:space="preserve"> </w:t>
      </w:r>
      <w:r w:rsidR="00101096">
        <w:rPr>
          <w:rFonts w:ascii="Arial" w:hAnsi="Arial" w:cs="Arial"/>
          <w:sz w:val="22"/>
          <w:szCs w:val="22"/>
        </w:rPr>
        <w:t xml:space="preserve"> </w:t>
      </w:r>
      <w:r w:rsidRPr="00102DCC">
        <w:rPr>
          <w:rFonts w:ascii="Arial" w:hAnsi="Arial" w:cs="Arial"/>
          <w:sz w:val="22"/>
          <w:szCs w:val="22"/>
        </w:rPr>
        <w:t xml:space="preserve">Upon request </w:t>
      </w:r>
      <w:r w:rsidR="001E64FD">
        <w:rPr>
          <w:rFonts w:ascii="Arial" w:hAnsi="Arial" w:cs="Arial"/>
          <w:sz w:val="22"/>
          <w:szCs w:val="22"/>
        </w:rPr>
        <w:t>by</w:t>
      </w:r>
      <w:r w:rsidR="001E64FD" w:rsidRPr="00102DCC">
        <w:rPr>
          <w:rFonts w:ascii="Arial" w:hAnsi="Arial" w:cs="Arial"/>
          <w:sz w:val="22"/>
          <w:szCs w:val="22"/>
        </w:rPr>
        <w:t xml:space="preserve"> </w:t>
      </w:r>
      <w:r w:rsidRPr="00102DCC">
        <w:rPr>
          <w:rFonts w:ascii="Arial" w:hAnsi="Arial" w:cs="Arial"/>
          <w:sz w:val="22"/>
          <w:szCs w:val="22"/>
        </w:rPr>
        <w:t xml:space="preserve">the </w:t>
      </w:r>
      <w:r w:rsidR="001E64FD">
        <w:rPr>
          <w:rFonts w:ascii="Arial" w:hAnsi="Arial" w:cs="Arial"/>
          <w:sz w:val="22"/>
          <w:szCs w:val="22"/>
        </w:rPr>
        <w:t>e</w:t>
      </w:r>
      <w:r w:rsidRPr="00102DCC">
        <w:rPr>
          <w:rFonts w:ascii="Arial" w:hAnsi="Arial" w:cs="Arial"/>
          <w:sz w:val="22"/>
          <w:szCs w:val="22"/>
        </w:rPr>
        <w:t>ngineer</w:t>
      </w:r>
      <w:r w:rsidR="001E64FD">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1D7F2440" w14:textId="014471ED" w:rsidR="00871417" w:rsidRPr="00102DCC" w:rsidRDefault="00871417" w:rsidP="00871417">
      <w:pPr>
        <w:rPr>
          <w:rFonts w:cs="Arial"/>
          <w:szCs w:val="22"/>
        </w:rPr>
      </w:pPr>
    </w:p>
    <w:p w14:paraId="319E7881"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Non-ferrous metals</w:t>
      </w:r>
    </w:p>
    <w:p w14:paraId="2781AAC2" w14:textId="472ED953"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3480894D"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Glass (including optic glass)</w:t>
      </w:r>
    </w:p>
    <w:p w14:paraId="42202AFC"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Fiber optic cable (including drop cable)</w:t>
      </w:r>
    </w:p>
    <w:p w14:paraId="671DE17B"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Optical fiber</w:t>
      </w:r>
    </w:p>
    <w:p w14:paraId="00602705"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Lumber</w:t>
      </w:r>
    </w:p>
    <w:p w14:paraId="03C59D8C"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Engineered wood</w:t>
      </w:r>
    </w:p>
    <w:p w14:paraId="4F39B636" w14:textId="77777777" w:rsidR="00871417" w:rsidRPr="00871417" w:rsidRDefault="00871417" w:rsidP="00B24B8F">
      <w:pPr>
        <w:pStyle w:val="ListParagraph"/>
        <w:numPr>
          <w:ilvl w:val="0"/>
          <w:numId w:val="13"/>
        </w:numPr>
        <w:spacing w:line="259" w:lineRule="auto"/>
        <w:rPr>
          <w:rFonts w:cs="Arial"/>
          <w:szCs w:val="22"/>
        </w:rPr>
      </w:pPr>
      <w:r w:rsidRPr="00871417">
        <w:rPr>
          <w:rFonts w:cs="Arial"/>
          <w:szCs w:val="22"/>
        </w:rPr>
        <w:t>Drywall</w:t>
      </w:r>
    </w:p>
    <w:p w14:paraId="74102039" w14:textId="77777777" w:rsidR="00871417" w:rsidRPr="00871417" w:rsidRDefault="00871417" w:rsidP="00871417">
      <w:pPr>
        <w:rPr>
          <w:rFonts w:cs="Arial"/>
          <w:szCs w:val="22"/>
        </w:rPr>
      </w:pPr>
    </w:p>
    <w:p w14:paraId="29B12644" w14:textId="509DD002" w:rsidR="00871417" w:rsidRPr="00871417" w:rsidRDefault="00871417" w:rsidP="00871417">
      <w:pPr>
        <w:rPr>
          <w:rFonts w:cs="Arial"/>
          <w:szCs w:val="22"/>
        </w:rPr>
      </w:pPr>
      <w:r w:rsidRPr="00871417">
        <w:rPr>
          <w:rFonts w:cs="Arial"/>
          <w:b/>
          <w:bCs/>
          <w:szCs w:val="22"/>
        </w:rPr>
        <w:t>106.9.6.</w:t>
      </w:r>
      <w:r w:rsidR="007E295F">
        <w:rPr>
          <w:rFonts w:cs="Arial"/>
          <w:b/>
          <w:bCs/>
          <w:szCs w:val="22"/>
        </w:rPr>
        <w:t>1</w:t>
      </w:r>
      <w:r>
        <w:rPr>
          <w:rFonts w:cs="Arial"/>
          <w:b/>
          <w:bCs/>
          <w:szCs w:val="22"/>
        </w:rPr>
        <w:t xml:space="preserve"> </w:t>
      </w:r>
      <w:r w:rsidRPr="00871417">
        <w:rPr>
          <w:rFonts w:cs="Arial"/>
          <w:szCs w:val="22"/>
        </w:rPr>
        <w:t xml:space="preserve"> </w:t>
      </w:r>
      <w:r w:rsidRPr="00DB462F">
        <w:rPr>
          <w:rFonts w:cs="Arial"/>
          <w:b/>
          <w:bCs/>
          <w:szCs w:val="22"/>
        </w:rPr>
        <w:t>Minimal Use allowance for Construction Materials other than iron or steel.</w:t>
      </w:r>
    </w:p>
    <w:p w14:paraId="0C15C66A" w14:textId="3B3C7E02" w:rsidR="00871417" w:rsidRPr="00871417" w:rsidRDefault="00871417" w:rsidP="00871417">
      <w:pPr>
        <w:rPr>
          <w:rFonts w:cs="Arial"/>
          <w:szCs w:val="22"/>
        </w:rPr>
      </w:pPr>
      <w:r w:rsidRPr="00871417">
        <w:rPr>
          <w:rFonts w:cs="Arial"/>
          <w:szCs w:val="22"/>
        </w:rPr>
        <w:t>“The total value of the non-compliant products is no more than the lesser of $1,000,000 or 5% of total applicable costs for the project.”</w:t>
      </w:r>
      <w:r w:rsidR="005428A1">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3A697D77" w14:textId="77777777" w:rsidR="00871417" w:rsidRPr="00871417" w:rsidRDefault="00871417" w:rsidP="00871417">
      <w:pPr>
        <w:rPr>
          <w:rFonts w:cs="Arial"/>
          <w:b/>
          <w:bCs/>
          <w:szCs w:val="22"/>
        </w:rPr>
      </w:pPr>
    </w:p>
    <w:p w14:paraId="7BFF1777" w14:textId="77777777" w:rsidR="00871417" w:rsidRPr="00871417" w:rsidRDefault="00871417" w:rsidP="00871417">
      <w:pPr>
        <w:rPr>
          <w:rFonts w:cs="Arial"/>
          <w:b/>
          <w:bCs/>
          <w:szCs w:val="22"/>
        </w:rPr>
      </w:pPr>
      <w:r w:rsidRPr="00871417">
        <w:rPr>
          <w:rFonts w:cs="Arial"/>
          <w:b/>
          <w:bCs/>
          <w:szCs w:val="22"/>
        </w:rPr>
        <w:t>106.9.7  Buy America Requirements for Manufactured Products.</w:t>
      </w:r>
    </w:p>
    <w:p w14:paraId="04343D40" w14:textId="77777777" w:rsidR="00871417" w:rsidRPr="00871417" w:rsidRDefault="00871417" w:rsidP="00871417">
      <w:pPr>
        <w:pStyle w:val="CommentText"/>
        <w:jc w:val="both"/>
        <w:rPr>
          <w:rFonts w:ascii="Arial" w:hAnsi="Arial" w:cs="Arial"/>
          <w:sz w:val="22"/>
          <w:szCs w:val="22"/>
        </w:rPr>
      </w:pPr>
      <w:r w:rsidRPr="00871417">
        <w:rPr>
          <w:rFonts w:ascii="Arial" w:hAnsi="Arial" w:cs="Arial"/>
          <w:sz w:val="22"/>
          <w:szCs w:val="22"/>
        </w:rPr>
        <w:t xml:space="preserve">Manufactured products </w:t>
      </w:r>
      <w:proofErr w:type="gramStart"/>
      <w:r w:rsidRPr="00871417">
        <w:rPr>
          <w:rFonts w:ascii="Arial" w:hAnsi="Arial" w:cs="Arial"/>
          <w:sz w:val="22"/>
          <w:szCs w:val="22"/>
        </w:rPr>
        <w:t>means</w:t>
      </w:r>
      <w:proofErr w:type="gramEnd"/>
      <w:r w:rsidRPr="00871417">
        <w:rPr>
          <w:rFonts w:ascii="Arial" w:hAnsi="Arial" w:cs="Arial"/>
          <w:sz w:val="22"/>
          <w:szCs w:val="22"/>
        </w:rPr>
        <w:t>:</w:t>
      </w:r>
    </w:p>
    <w:p w14:paraId="631E6E08" w14:textId="77777777" w:rsidR="00871417" w:rsidRPr="00871417" w:rsidRDefault="00871417" w:rsidP="00B24B8F">
      <w:pPr>
        <w:pStyle w:val="CommentText"/>
        <w:widowControl/>
        <w:numPr>
          <w:ilvl w:val="0"/>
          <w:numId w:val="14"/>
        </w:numPr>
        <w:autoSpaceDE/>
        <w:autoSpaceDN/>
        <w:spacing w:after="120"/>
        <w:jc w:val="both"/>
        <w:rPr>
          <w:rFonts w:ascii="Arial" w:hAnsi="Arial" w:cs="Arial"/>
          <w:sz w:val="22"/>
          <w:szCs w:val="22"/>
        </w:rPr>
      </w:pPr>
      <w:r w:rsidRPr="00871417">
        <w:rPr>
          <w:rFonts w:ascii="Arial" w:hAnsi="Arial" w:cs="Arial"/>
          <w:sz w:val="22"/>
          <w:szCs w:val="22"/>
        </w:rPr>
        <w:t>Articles, materials, or supplies that have been:</w:t>
      </w:r>
    </w:p>
    <w:p w14:paraId="21700213" w14:textId="17B8B42C" w:rsidR="00871417" w:rsidRPr="00871417" w:rsidRDefault="00871417" w:rsidP="00B24B8F">
      <w:pPr>
        <w:pStyle w:val="CommentText"/>
        <w:numPr>
          <w:ilvl w:val="0"/>
          <w:numId w:val="15"/>
        </w:numPr>
        <w:ind w:left="1080"/>
        <w:jc w:val="both"/>
        <w:rPr>
          <w:rFonts w:ascii="Arial" w:hAnsi="Arial" w:cs="Arial"/>
          <w:sz w:val="22"/>
          <w:szCs w:val="22"/>
        </w:rPr>
      </w:pPr>
      <w:r w:rsidRPr="00871417">
        <w:rPr>
          <w:rFonts w:ascii="Arial" w:hAnsi="Arial" w:cs="Arial"/>
          <w:sz w:val="22"/>
          <w:szCs w:val="22"/>
        </w:rPr>
        <w:t>Processed into a specific form and shape; or</w:t>
      </w:r>
    </w:p>
    <w:p w14:paraId="610C4C39" w14:textId="49C6E383" w:rsidR="00871417" w:rsidRPr="00871417" w:rsidRDefault="00871417" w:rsidP="00B24B8F">
      <w:pPr>
        <w:pStyle w:val="CommentText"/>
        <w:numPr>
          <w:ilvl w:val="0"/>
          <w:numId w:val="15"/>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2FD4FED3" w14:textId="05534505" w:rsidR="00871417" w:rsidRDefault="00871417" w:rsidP="00B24B8F">
      <w:pPr>
        <w:pStyle w:val="CommentText"/>
        <w:widowControl/>
        <w:numPr>
          <w:ilvl w:val="0"/>
          <w:numId w:val="14"/>
        </w:numPr>
        <w:autoSpaceDE/>
        <w:autoSpaceDN/>
        <w:jc w:val="both"/>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sidR="005428A1">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4D121E87" w14:textId="77777777" w:rsidR="00871417" w:rsidRPr="00871417" w:rsidRDefault="00871417" w:rsidP="00871417">
      <w:pPr>
        <w:pStyle w:val="CommentText"/>
        <w:widowControl/>
        <w:autoSpaceDE/>
        <w:autoSpaceDN/>
        <w:jc w:val="both"/>
        <w:rPr>
          <w:rFonts w:ascii="Arial" w:hAnsi="Arial" w:cs="Arial"/>
          <w:sz w:val="22"/>
          <w:szCs w:val="22"/>
        </w:rPr>
      </w:pPr>
    </w:p>
    <w:p w14:paraId="1940AF82" w14:textId="14E6E9F8" w:rsidR="00871417" w:rsidRDefault="00871417" w:rsidP="00871417">
      <w:pPr>
        <w:pStyle w:val="CommentText"/>
        <w:jc w:val="both"/>
        <w:rPr>
          <w:rFonts w:ascii="Arial" w:hAnsi="Arial" w:cs="Arial"/>
          <w:sz w:val="22"/>
          <w:szCs w:val="22"/>
        </w:rPr>
      </w:pPr>
      <w:r w:rsidRPr="00871417">
        <w:rPr>
          <w:rFonts w:ascii="Arial" w:hAnsi="Arial" w:cs="Arial"/>
          <w:b/>
          <w:bCs/>
          <w:sz w:val="22"/>
          <w:szCs w:val="22"/>
        </w:rPr>
        <w:t>106.9.7.1</w:t>
      </w:r>
      <w:r w:rsidRPr="00871417">
        <w:rPr>
          <w:rFonts w:ascii="Arial" w:hAnsi="Arial" w:cs="Arial"/>
          <w:sz w:val="22"/>
          <w:szCs w:val="22"/>
        </w:rPr>
        <w:t xml:space="preserve">  Manufactured products are exempt from Buy America requirements.</w:t>
      </w:r>
      <w:r w:rsidR="005428A1">
        <w:rPr>
          <w:rFonts w:ascii="Arial" w:hAnsi="Arial" w:cs="Arial"/>
          <w:sz w:val="22"/>
          <w:szCs w:val="22"/>
        </w:rPr>
        <w:t xml:space="preserve"> </w:t>
      </w:r>
      <w:r w:rsidRPr="00871417">
        <w:rPr>
          <w:rFonts w:ascii="Arial" w:hAnsi="Arial" w:cs="Arial"/>
          <w:sz w:val="22"/>
          <w:szCs w:val="22"/>
        </w:rPr>
        <w:t xml:space="preserve"> To qualify as a </w:t>
      </w:r>
      <w:r w:rsidRPr="00871417">
        <w:rPr>
          <w:rFonts w:ascii="Arial" w:hAnsi="Arial" w:cs="Arial"/>
          <w:sz w:val="22"/>
          <w:szCs w:val="22"/>
        </w:rPr>
        <w:lastRenderedPageBreak/>
        <w:t xml:space="preserve">manufactured product, items that consist of two or more of the listed construction materials that have been </w:t>
      </w:r>
      <w:proofErr w:type="gramStart"/>
      <w:r w:rsidRPr="00871417">
        <w:rPr>
          <w:rFonts w:ascii="Arial" w:hAnsi="Arial" w:cs="Arial"/>
          <w:sz w:val="22"/>
          <w:szCs w:val="22"/>
        </w:rPr>
        <w:t>combined together</w:t>
      </w:r>
      <w:proofErr w:type="gramEnd"/>
      <w:r w:rsidRPr="00871417">
        <w:rPr>
          <w:rFonts w:ascii="Arial" w:hAnsi="Arial"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2451045D" w14:textId="77777777" w:rsidR="00871417" w:rsidRPr="00871417" w:rsidRDefault="00871417" w:rsidP="00871417">
      <w:pPr>
        <w:pStyle w:val="CommentText"/>
        <w:jc w:val="both"/>
        <w:rPr>
          <w:rFonts w:ascii="Arial" w:hAnsi="Arial" w:cs="Arial"/>
          <w:sz w:val="22"/>
          <w:szCs w:val="22"/>
        </w:rPr>
      </w:pPr>
    </w:p>
    <w:p w14:paraId="6199D34F" w14:textId="77777777" w:rsidR="00871417" w:rsidRPr="00871417" w:rsidRDefault="00871417" w:rsidP="00871417">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2D64567F" w14:textId="77777777" w:rsidR="00871417" w:rsidRDefault="00871417" w:rsidP="004C1B5A"/>
    <w:p w14:paraId="5E133216" w14:textId="7E97CD2F" w:rsidR="003A2A25" w:rsidRDefault="003A2A25" w:rsidP="004C1B5A"/>
    <w:p w14:paraId="7B15719E" w14:textId="77777777" w:rsidR="00527A22" w:rsidRPr="006C4482" w:rsidRDefault="00527A22" w:rsidP="00527A22">
      <w:pPr>
        <w:rPr>
          <w:rFonts w:cs="Arial"/>
          <w:b/>
          <w:bCs/>
          <w:i/>
          <w:iCs/>
          <w:color w:val="000000"/>
          <w:szCs w:val="22"/>
        </w:rPr>
      </w:pPr>
      <w:bookmarkStart w:id="1" w:name="_Hlk143087397"/>
      <w:r w:rsidRPr="006C4482">
        <w:rPr>
          <w:rFonts w:cs="Arial"/>
          <w:b/>
          <w:bCs/>
          <w:i/>
          <w:iCs/>
          <w:color w:val="000000"/>
          <w:szCs w:val="22"/>
        </w:rPr>
        <w:t>Delete Sec 109.14.1 thru Sec 109.14.8 and substitute the following:</w:t>
      </w:r>
    </w:p>
    <w:p w14:paraId="00B4A1F4" w14:textId="77777777" w:rsidR="00527A22" w:rsidRPr="00767E1D" w:rsidRDefault="00527A22" w:rsidP="00527A22">
      <w:pPr>
        <w:rPr>
          <w:rFonts w:cs="Arial"/>
          <w:color w:val="000000"/>
          <w:szCs w:val="22"/>
        </w:rPr>
      </w:pPr>
    </w:p>
    <w:p w14:paraId="2CB5C251" w14:textId="694A8535" w:rsidR="00527A22" w:rsidRPr="00767E1D" w:rsidRDefault="00527A22" w:rsidP="00527A22">
      <w:pPr>
        <w:rPr>
          <w:rFonts w:cs="Arial"/>
          <w:color w:val="000000"/>
          <w:szCs w:val="22"/>
        </w:rPr>
      </w:pPr>
      <w:r w:rsidRPr="00767E1D">
        <w:rPr>
          <w:rFonts w:cs="Arial"/>
          <w:b/>
          <w:bCs/>
          <w:color w:val="000000"/>
          <w:szCs w:val="22"/>
        </w:rPr>
        <w:t>109.14.1  Monthly Fuel Index</w:t>
      </w:r>
      <w:r w:rsidRPr="00767E1D">
        <w:rPr>
          <w:rFonts w:cs="Arial"/>
          <w:color w:val="000000"/>
          <w:szCs w:val="22"/>
        </w:rPr>
        <w:t>.  Each month, the Monthly Fuel Index will be established as the average retail price per gallon for Ultra Low Sulfur Diesel for the Midwest (</w:t>
      </w:r>
      <w:proofErr w:type="spellStart"/>
      <w:r w:rsidRPr="00767E1D">
        <w:rPr>
          <w:rFonts w:cs="Arial"/>
          <w:color w:val="000000"/>
          <w:szCs w:val="22"/>
        </w:rPr>
        <w:t>PADD</w:t>
      </w:r>
      <w:proofErr w:type="spellEnd"/>
      <w:r w:rsidRPr="00767E1D">
        <w:rPr>
          <w:rFonts w:cs="Arial"/>
          <w:color w:val="000000"/>
          <w:szCs w:val="22"/>
        </w:rPr>
        <w:t xml:space="preserve"> 2) area as posted on the first Monday of the month by the U.S. Energy Information Administration (EIA).  Should the posted price not be available for any reason, the MoDOT State Construction </w:t>
      </w:r>
      <w:r w:rsidR="00101096">
        <w:rPr>
          <w:rFonts w:cs="Arial"/>
          <w:color w:val="000000"/>
          <w:szCs w:val="22"/>
        </w:rPr>
        <w:t>and</w:t>
      </w:r>
      <w:r w:rsidR="00101096" w:rsidRPr="00767E1D">
        <w:rPr>
          <w:rFonts w:cs="Arial"/>
          <w:color w:val="000000"/>
          <w:szCs w:val="22"/>
        </w:rPr>
        <w:t xml:space="preserve"> </w:t>
      </w:r>
      <w:r w:rsidRPr="00767E1D">
        <w:rPr>
          <w:rFonts w:cs="Arial"/>
          <w:color w:val="000000"/>
          <w:szCs w:val="22"/>
        </w:rPr>
        <w:t>Materials Engineer will use reasonable methods, at their sole discretion, to establish the Monthly Fuel Index on an interim basis until the EIA resumes its publication.</w:t>
      </w:r>
    </w:p>
    <w:p w14:paraId="53EC6B80" w14:textId="77777777" w:rsidR="00527A22" w:rsidRPr="00767E1D" w:rsidRDefault="00527A22" w:rsidP="00527A22">
      <w:pPr>
        <w:rPr>
          <w:rFonts w:cs="Arial"/>
          <w:color w:val="000000"/>
          <w:szCs w:val="22"/>
        </w:rPr>
      </w:pPr>
    </w:p>
    <w:p w14:paraId="2FE4FD2F" w14:textId="77777777" w:rsidR="00527A22" w:rsidRPr="00767E1D" w:rsidRDefault="00527A22" w:rsidP="00527A22">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7ED1B09D" w14:textId="77777777" w:rsidR="00527A22" w:rsidRPr="00767E1D" w:rsidRDefault="00527A22" w:rsidP="00527A22">
      <w:pPr>
        <w:rPr>
          <w:rFonts w:cs="Arial"/>
          <w:color w:val="000000"/>
          <w:szCs w:val="22"/>
        </w:rPr>
      </w:pPr>
    </w:p>
    <w:p w14:paraId="4D716E3F" w14:textId="77777777" w:rsidR="00527A22" w:rsidRPr="00767E1D" w:rsidRDefault="00527A22" w:rsidP="00527A22">
      <w:pPr>
        <w:rPr>
          <w:rFonts w:cs="Arial"/>
          <w:color w:val="000000"/>
          <w:szCs w:val="22"/>
        </w:rPr>
      </w:pPr>
      <w:r w:rsidRPr="00767E1D">
        <w:rPr>
          <w:rFonts w:cs="Arial"/>
          <w:color w:val="000000"/>
          <w:szCs w:val="22"/>
        </w:rPr>
        <w:t>B = Base Fuel Index = Monthly Fuel Index in the month in which the project was let</w:t>
      </w:r>
    </w:p>
    <w:p w14:paraId="139F406E" w14:textId="77777777" w:rsidR="00527A22" w:rsidRPr="00767E1D" w:rsidRDefault="00527A22" w:rsidP="00527A22">
      <w:pPr>
        <w:rPr>
          <w:rFonts w:cs="Arial"/>
          <w:color w:val="000000"/>
          <w:szCs w:val="22"/>
        </w:rPr>
      </w:pPr>
      <w:r w:rsidRPr="00767E1D">
        <w:rPr>
          <w:rFonts w:cs="Arial"/>
          <w:color w:val="000000"/>
          <w:szCs w:val="22"/>
        </w:rPr>
        <w:t>C = Current Index = Monthly Fuel Index in the month in which the work was performed</w:t>
      </w:r>
    </w:p>
    <w:p w14:paraId="5F7771C2" w14:textId="77777777" w:rsidR="00527A22" w:rsidRPr="00767E1D" w:rsidRDefault="00527A22" w:rsidP="00527A22">
      <w:pPr>
        <w:rPr>
          <w:rFonts w:cs="Arial"/>
          <w:color w:val="000000"/>
          <w:szCs w:val="22"/>
        </w:rPr>
      </w:pPr>
      <w:r w:rsidRPr="00767E1D">
        <w:rPr>
          <w:rFonts w:cs="Arial"/>
          <w:color w:val="000000"/>
          <w:szCs w:val="22"/>
        </w:rPr>
        <w:t>U = Units of work performed within the current pay estimate period (applicable pay units)</w:t>
      </w:r>
    </w:p>
    <w:p w14:paraId="0454095B" w14:textId="77777777" w:rsidR="00527A22" w:rsidRPr="00767E1D" w:rsidRDefault="00527A22" w:rsidP="00527A22">
      <w:pPr>
        <w:rPr>
          <w:rFonts w:cs="Arial"/>
          <w:color w:val="000000"/>
          <w:szCs w:val="22"/>
        </w:rPr>
      </w:pPr>
      <w:r w:rsidRPr="00767E1D">
        <w:rPr>
          <w:rFonts w:cs="Arial"/>
          <w:color w:val="000000"/>
          <w:szCs w:val="22"/>
        </w:rPr>
        <w:t>F = Total Fuel Usage Factor (gal./applicable pay units)</w:t>
      </w:r>
    </w:p>
    <w:p w14:paraId="26F78E6C" w14:textId="77777777" w:rsidR="00527A22" w:rsidRPr="00767E1D" w:rsidRDefault="00527A22" w:rsidP="00527A22">
      <w:pPr>
        <w:rPr>
          <w:rFonts w:cs="Arial"/>
          <w:color w:val="000000"/>
          <w:szCs w:val="22"/>
        </w:rPr>
      </w:pPr>
    </w:p>
    <w:p w14:paraId="021F9F14" w14:textId="77777777" w:rsidR="00527A22" w:rsidRPr="00767E1D" w:rsidRDefault="00527A22" w:rsidP="00527A22">
      <w:pPr>
        <w:rPr>
          <w:rFonts w:cs="Arial"/>
          <w:color w:val="000000"/>
          <w:szCs w:val="22"/>
        </w:rPr>
      </w:pPr>
      <w:r w:rsidRPr="00767E1D">
        <w:rPr>
          <w:rFonts w:cs="Arial"/>
          <w:color w:val="000000"/>
          <w:szCs w:val="22"/>
        </w:rPr>
        <w:t>Fuel Adjustment (Dollars) = (C – B) x U x F</w:t>
      </w:r>
    </w:p>
    <w:p w14:paraId="12266D94" w14:textId="77777777" w:rsidR="00527A22" w:rsidRPr="00767E1D" w:rsidRDefault="00527A22" w:rsidP="00527A22">
      <w:pPr>
        <w:rPr>
          <w:rFonts w:cs="Arial"/>
          <w:color w:val="000000"/>
          <w:szCs w:val="22"/>
        </w:rPr>
      </w:pPr>
    </w:p>
    <w:p w14:paraId="674679CB" w14:textId="77777777" w:rsidR="00527A22" w:rsidRPr="00767E1D" w:rsidRDefault="00527A22" w:rsidP="00527A22">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15BB45FA" w14:textId="77777777" w:rsidR="00527A22" w:rsidRPr="00767E1D" w:rsidRDefault="00527A22" w:rsidP="00527A22">
      <w:pPr>
        <w:rPr>
          <w:rFonts w:cs="Arial"/>
          <w:color w:val="000000"/>
          <w:szCs w:val="22"/>
        </w:rPr>
      </w:pPr>
    </w:p>
    <w:p w14:paraId="4C784A82" w14:textId="77777777" w:rsidR="00527A22" w:rsidRPr="00767E1D" w:rsidRDefault="00527A22" w:rsidP="00527A22">
      <w:pPr>
        <w:rPr>
          <w:rFonts w:cs="Arial"/>
          <w:color w:val="000000"/>
          <w:szCs w:val="22"/>
        </w:rPr>
      </w:pPr>
      <w:r w:rsidRPr="00767E1D">
        <w:rPr>
          <w:rFonts w:cs="Arial"/>
          <w:b/>
          <w:bCs/>
          <w:color w:val="000000"/>
          <w:szCs w:val="22"/>
        </w:rPr>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1"/>
    </w:p>
    <w:p w14:paraId="3DCF2A07" w14:textId="77777777" w:rsidR="00527A22" w:rsidRPr="00767E1D" w:rsidRDefault="00527A22" w:rsidP="00527A22">
      <w:pPr>
        <w:rPr>
          <w:rFonts w:cs="Arial"/>
          <w:color w:val="000000"/>
          <w:szCs w:val="22"/>
        </w:rPr>
      </w:pPr>
    </w:p>
    <w:p w14:paraId="4F8C2F5A" w14:textId="77777777" w:rsidR="00527A22" w:rsidRDefault="00527A22" w:rsidP="00527A22">
      <w:pPr>
        <w:rPr>
          <w:rFonts w:cs="Arial"/>
          <w:color w:val="222222"/>
          <w:szCs w:val="22"/>
          <w:lang w:val="en"/>
        </w:rPr>
      </w:pPr>
    </w:p>
    <w:p w14:paraId="50015D3F" w14:textId="77777777" w:rsidR="00527A22" w:rsidRDefault="00527A22" w:rsidP="00527A22">
      <w:pPr>
        <w:rPr>
          <w:rFonts w:eastAsia="Calibri" w:cs="Arial"/>
          <w:szCs w:val="22"/>
        </w:rPr>
      </w:pPr>
      <w:r w:rsidRPr="006C4482">
        <w:rPr>
          <w:rFonts w:eastAsia="Calibri" w:cs="Arial"/>
          <w:szCs w:val="22"/>
        </w:rPr>
        <w:t>Disposal of Blast Media and Paint Residue</w:t>
      </w:r>
    </w:p>
    <w:p w14:paraId="5F6313A6" w14:textId="77777777" w:rsidR="00527A22" w:rsidRPr="006C4482" w:rsidRDefault="00527A22" w:rsidP="00527A22">
      <w:pPr>
        <w:rPr>
          <w:rFonts w:eastAsia="Calibri" w:cs="Arial"/>
          <w:szCs w:val="22"/>
        </w:rPr>
      </w:pPr>
    </w:p>
    <w:p w14:paraId="76F5B85E" w14:textId="77777777" w:rsidR="00527A22" w:rsidRDefault="00527A22" w:rsidP="00527A22">
      <w:pPr>
        <w:rPr>
          <w:rFonts w:eastAsia="Calibri" w:cs="Arial"/>
          <w:szCs w:val="22"/>
        </w:rPr>
      </w:pPr>
      <w:r w:rsidRPr="009103B2">
        <w:rPr>
          <w:rFonts w:eastAsia="Calibri" w:cs="Arial"/>
          <w:b/>
          <w:bCs/>
          <w:szCs w:val="22"/>
        </w:rPr>
        <w:t xml:space="preserve">1.0  Description.  </w:t>
      </w:r>
      <w:r w:rsidRPr="009103B2">
        <w:rPr>
          <w:rFonts w:eastAsia="Calibri" w:cs="Arial"/>
          <w:szCs w:val="22"/>
        </w:rPr>
        <w:t>Whereas Sec 1081.10 requires delivery of Blast Media and Paint Residue (</w:t>
      </w:r>
      <w:proofErr w:type="spellStart"/>
      <w:r w:rsidRPr="009103B2">
        <w:rPr>
          <w:rFonts w:eastAsia="Calibri" w:cs="Arial"/>
          <w:szCs w:val="22"/>
        </w:rPr>
        <w:t>BMPR</w:t>
      </w:r>
      <w:proofErr w:type="spellEnd"/>
      <w:r w:rsidRPr="009103B2">
        <w:rPr>
          <w:rFonts w:eastAsia="Calibri" w:cs="Arial"/>
          <w:szCs w:val="22"/>
        </w:rPr>
        <w:t xml:space="preserve">)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w:t>
      </w:r>
      <w:proofErr w:type="spellStart"/>
      <w:r w:rsidRPr="009103B2">
        <w:rPr>
          <w:rFonts w:eastAsia="Calibri" w:cs="Arial"/>
          <w:szCs w:val="22"/>
        </w:rPr>
        <w:t>BMPR</w:t>
      </w:r>
      <w:proofErr w:type="spellEnd"/>
      <w:r w:rsidRPr="009103B2">
        <w:rPr>
          <w:rFonts w:eastAsia="Calibri" w:cs="Arial"/>
          <w:szCs w:val="22"/>
        </w:rPr>
        <w:t xml:space="preserve"> produced on all active MoDOT projects statewide at any given point in time may exceed the recycling capacity of Doe Run, this provision allows for an alternate method of disposal of </w:t>
      </w:r>
      <w:proofErr w:type="spellStart"/>
      <w:r w:rsidRPr="009103B2">
        <w:rPr>
          <w:rFonts w:eastAsia="Calibri" w:cs="Arial"/>
          <w:szCs w:val="22"/>
        </w:rPr>
        <w:t>BMPR</w:t>
      </w:r>
      <w:proofErr w:type="spellEnd"/>
      <w:r w:rsidRPr="009103B2">
        <w:rPr>
          <w:rFonts w:eastAsia="Calibri" w:cs="Arial"/>
          <w:szCs w:val="22"/>
        </w:rPr>
        <w:t xml:space="preserve">.  The contractor, at its discretion, can choose this disposal option or the Doe Run recycle option, when both are available.  When Doe Run is not currently capable or agreeable to accept the </w:t>
      </w:r>
      <w:proofErr w:type="spellStart"/>
      <w:r w:rsidRPr="009103B2">
        <w:rPr>
          <w:rFonts w:eastAsia="Calibri" w:cs="Arial"/>
          <w:szCs w:val="22"/>
        </w:rPr>
        <w:t>BMPR</w:t>
      </w:r>
      <w:proofErr w:type="spellEnd"/>
      <w:r w:rsidRPr="009103B2">
        <w:rPr>
          <w:rFonts w:eastAsia="Calibri" w:cs="Arial"/>
          <w:szCs w:val="22"/>
        </w:rPr>
        <w:t>, this alternate disposal option shall be considered mandatory, and at no additional cost to the Commission.</w:t>
      </w:r>
    </w:p>
    <w:p w14:paraId="4BAEF206" w14:textId="77777777" w:rsidR="00527A22" w:rsidRPr="009103B2" w:rsidRDefault="00527A22" w:rsidP="00527A22">
      <w:pPr>
        <w:rPr>
          <w:rFonts w:eastAsia="Calibri" w:cs="Arial"/>
          <w:szCs w:val="22"/>
        </w:rPr>
      </w:pPr>
    </w:p>
    <w:p w14:paraId="11879E09" w14:textId="77777777" w:rsidR="00527A22" w:rsidRDefault="00527A22" w:rsidP="00527A22">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 xml:space="preserve">In lieu of delivery to Doe Run for recycling, </w:t>
      </w:r>
      <w:proofErr w:type="spellStart"/>
      <w:r w:rsidRPr="009103B2">
        <w:rPr>
          <w:rFonts w:eastAsia="Calibri" w:cs="Arial"/>
          <w:szCs w:val="22"/>
        </w:rPr>
        <w:t>BMPR</w:t>
      </w:r>
      <w:proofErr w:type="spellEnd"/>
      <w:r w:rsidRPr="009103B2">
        <w:rPr>
          <w:rFonts w:eastAsia="Calibri" w:cs="Arial"/>
          <w:szCs w:val="22"/>
        </w:rPr>
        <w:t xml:space="preserve">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1AC6682F" w14:textId="77777777" w:rsidR="00527A22" w:rsidRPr="009103B2" w:rsidRDefault="00527A22" w:rsidP="00527A22">
      <w:pPr>
        <w:rPr>
          <w:rFonts w:eastAsia="Calibri" w:cs="Arial"/>
          <w:szCs w:val="22"/>
        </w:rPr>
      </w:pPr>
    </w:p>
    <w:p w14:paraId="48978D4B" w14:textId="77777777" w:rsidR="00527A22" w:rsidRDefault="00527A22" w:rsidP="00527A22">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w:t>
      </w:r>
      <w:proofErr w:type="spellStart"/>
      <w:r w:rsidRPr="009103B2">
        <w:rPr>
          <w:rFonts w:eastAsia="Calibri" w:cs="Arial"/>
          <w:szCs w:val="22"/>
        </w:rPr>
        <w:t>BMPR</w:t>
      </w:r>
      <w:proofErr w:type="spellEnd"/>
      <w:r w:rsidRPr="009103B2">
        <w:rPr>
          <w:rFonts w:eastAsia="Calibri" w:cs="Arial"/>
          <w:szCs w:val="22"/>
        </w:rPr>
        <w:t xml:space="preserve">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2" w:name="_Hlk153956826"/>
      <w:r w:rsidRPr="009103B2">
        <w:rPr>
          <w:rFonts w:eastAsia="Calibri" w:cs="Arial"/>
          <w:szCs w:val="22"/>
        </w:rPr>
        <w:t>The contractor shall comply with all applicable laws and regulations for storage and shipping of the hazardous waste material</w:t>
      </w:r>
      <w:bookmarkEnd w:id="2"/>
      <w:r w:rsidRPr="009103B2">
        <w:rPr>
          <w:rFonts w:eastAsia="Calibri" w:cs="Arial"/>
          <w:szCs w:val="22"/>
        </w:rPr>
        <w:t xml:space="preserve">.  If the testing indicates that the </w:t>
      </w:r>
      <w:proofErr w:type="spellStart"/>
      <w:r w:rsidRPr="009103B2">
        <w:rPr>
          <w:rFonts w:eastAsia="Calibri" w:cs="Arial"/>
          <w:szCs w:val="22"/>
        </w:rPr>
        <w:t>BMPR</w:t>
      </w:r>
      <w:proofErr w:type="spellEnd"/>
      <w:r w:rsidRPr="009103B2">
        <w:rPr>
          <w:rFonts w:eastAsia="Calibri" w:cs="Arial"/>
          <w:szCs w:val="22"/>
        </w:rPr>
        <w:t xml:space="preserve"> material qualifies as a special waste, it shall be taken to a certified landfill for disposal.  The contractor shall be responsible for the transportation of the special waste material to the certified landfill.  The requirement to ship the </w:t>
      </w:r>
      <w:proofErr w:type="spellStart"/>
      <w:r w:rsidRPr="009103B2">
        <w:rPr>
          <w:rFonts w:eastAsia="Calibri" w:cs="Arial"/>
          <w:szCs w:val="22"/>
        </w:rPr>
        <w:t>BMPR</w:t>
      </w:r>
      <w:proofErr w:type="spellEnd"/>
      <w:r w:rsidRPr="009103B2">
        <w:rPr>
          <w:rFonts w:eastAsia="Calibri" w:cs="Arial"/>
          <w:szCs w:val="22"/>
        </w:rPr>
        <w:t xml:space="preserve">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79145541" w14:textId="77777777" w:rsidR="00527A22" w:rsidRPr="009103B2" w:rsidRDefault="00527A22" w:rsidP="00527A22">
      <w:pPr>
        <w:rPr>
          <w:rFonts w:eastAsia="Calibri" w:cs="Arial"/>
          <w:szCs w:val="22"/>
        </w:rPr>
      </w:pPr>
    </w:p>
    <w:p w14:paraId="1C1784BE" w14:textId="77777777" w:rsidR="00527A22" w:rsidRPr="009103B2" w:rsidRDefault="00527A22" w:rsidP="00527A22">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4D4C36AD" w14:textId="77777777" w:rsidR="00527A22" w:rsidRPr="00871417" w:rsidRDefault="00527A22" w:rsidP="00527A22">
      <w:pPr>
        <w:rPr>
          <w:rFonts w:cs="Arial"/>
          <w:szCs w:val="22"/>
        </w:rPr>
      </w:pPr>
    </w:p>
    <w:p w14:paraId="20A78B3F" w14:textId="77777777" w:rsidR="00527A22" w:rsidRDefault="00527A22" w:rsidP="004C1B5A"/>
    <w:sectPr w:rsidR="00527A22" w:rsidSect="00A6059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37AAA"/>
    <w:multiLevelType w:val="hybridMultilevel"/>
    <w:tmpl w:val="1F207102"/>
    <w:lvl w:ilvl="0" w:tplc="E0A6BD8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F6924"/>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3" w15:restartNumberingAfterBreak="0">
    <w:nsid w:val="48732A25"/>
    <w:multiLevelType w:val="hybridMultilevel"/>
    <w:tmpl w:val="508EB44C"/>
    <w:lvl w:ilvl="0" w:tplc="44606268">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209262">
    <w:abstractNumId w:val="12"/>
  </w:num>
  <w:num w:numId="2" w16cid:durableId="1077438886">
    <w:abstractNumId w:val="13"/>
  </w:num>
  <w:num w:numId="3" w16cid:durableId="1818108030">
    <w:abstractNumId w:val="9"/>
  </w:num>
  <w:num w:numId="4" w16cid:durableId="1901279967">
    <w:abstractNumId w:val="7"/>
  </w:num>
  <w:num w:numId="5" w16cid:durableId="1217204708">
    <w:abstractNumId w:val="6"/>
  </w:num>
  <w:num w:numId="6" w16cid:durableId="1213036558">
    <w:abstractNumId w:val="5"/>
  </w:num>
  <w:num w:numId="7" w16cid:durableId="452333107">
    <w:abstractNumId w:val="4"/>
  </w:num>
  <w:num w:numId="8" w16cid:durableId="1657151492">
    <w:abstractNumId w:val="8"/>
  </w:num>
  <w:num w:numId="9" w16cid:durableId="556358032">
    <w:abstractNumId w:val="3"/>
  </w:num>
  <w:num w:numId="10" w16cid:durableId="245186266">
    <w:abstractNumId w:val="2"/>
  </w:num>
  <w:num w:numId="11" w16cid:durableId="1462187569">
    <w:abstractNumId w:val="1"/>
  </w:num>
  <w:num w:numId="12" w16cid:durableId="119226178">
    <w:abstractNumId w:val="0"/>
  </w:num>
  <w:num w:numId="13" w16cid:durableId="2006278850">
    <w:abstractNumId w:val="14"/>
  </w:num>
  <w:num w:numId="14" w16cid:durableId="119031281">
    <w:abstractNumId w:val="15"/>
  </w:num>
  <w:num w:numId="15" w16cid:durableId="158744">
    <w:abstractNumId w:val="10"/>
  </w:num>
  <w:num w:numId="16" w16cid:durableId="8835607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5"/>
    <w:rsid w:val="0001491A"/>
    <w:rsid w:val="0002670B"/>
    <w:rsid w:val="000268E8"/>
    <w:rsid w:val="00030F3E"/>
    <w:rsid w:val="000344BA"/>
    <w:rsid w:val="00043A88"/>
    <w:rsid w:val="00045031"/>
    <w:rsid w:val="00046958"/>
    <w:rsid w:val="000553B4"/>
    <w:rsid w:val="00057718"/>
    <w:rsid w:val="00076543"/>
    <w:rsid w:val="000779D4"/>
    <w:rsid w:val="00082F49"/>
    <w:rsid w:val="000C4C33"/>
    <w:rsid w:val="000D2F52"/>
    <w:rsid w:val="000D35C2"/>
    <w:rsid w:val="000D464E"/>
    <w:rsid w:val="000E1D3E"/>
    <w:rsid w:val="000E7C33"/>
    <w:rsid w:val="00101096"/>
    <w:rsid w:val="00102DCC"/>
    <w:rsid w:val="001042C9"/>
    <w:rsid w:val="00107B56"/>
    <w:rsid w:val="00112B97"/>
    <w:rsid w:val="00126279"/>
    <w:rsid w:val="00127DF6"/>
    <w:rsid w:val="0013602D"/>
    <w:rsid w:val="00141397"/>
    <w:rsid w:val="00150F0B"/>
    <w:rsid w:val="00152A01"/>
    <w:rsid w:val="00155554"/>
    <w:rsid w:val="00160EF1"/>
    <w:rsid w:val="001762AF"/>
    <w:rsid w:val="00185DC7"/>
    <w:rsid w:val="001B4421"/>
    <w:rsid w:val="001C0FC8"/>
    <w:rsid w:val="001C420E"/>
    <w:rsid w:val="001C648E"/>
    <w:rsid w:val="001E64FD"/>
    <w:rsid w:val="00205B36"/>
    <w:rsid w:val="00233CF6"/>
    <w:rsid w:val="00236B45"/>
    <w:rsid w:val="00241ABB"/>
    <w:rsid w:val="00242F3C"/>
    <w:rsid w:val="00255F4F"/>
    <w:rsid w:val="00261098"/>
    <w:rsid w:val="00264077"/>
    <w:rsid w:val="00271760"/>
    <w:rsid w:val="002730F5"/>
    <w:rsid w:val="0029256C"/>
    <w:rsid w:val="002A13A7"/>
    <w:rsid w:val="002A17B0"/>
    <w:rsid w:val="002A25C9"/>
    <w:rsid w:val="002A4C22"/>
    <w:rsid w:val="002B01DE"/>
    <w:rsid w:val="002B1476"/>
    <w:rsid w:val="002B1E52"/>
    <w:rsid w:val="002B3066"/>
    <w:rsid w:val="002D392D"/>
    <w:rsid w:val="002E76BE"/>
    <w:rsid w:val="002F146D"/>
    <w:rsid w:val="002F3A23"/>
    <w:rsid w:val="002F3D3D"/>
    <w:rsid w:val="002F532F"/>
    <w:rsid w:val="00310911"/>
    <w:rsid w:val="00314B4A"/>
    <w:rsid w:val="00323140"/>
    <w:rsid w:val="00332165"/>
    <w:rsid w:val="00334DAD"/>
    <w:rsid w:val="00344AA9"/>
    <w:rsid w:val="00345CFD"/>
    <w:rsid w:val="00346CC7"/>
    <w:rsid w:val="0036440F"/>
    <w:rsid w:val="00382F79"/>
    <w:rsid w:val="003865F2"/>
    <w:rsid w:val="0039152E"/>
    <w:rsid w:val="0039424C"/>
    <w:rsid w:val="00395E0C"/>
    <w:rsid w:val="003A1FD1"/>
    <w:rsid w:val="003A2A25"/>
    <w:rsid w:val="003B3456"/>
    <w:rsid w:val="003B7F11"/>
    <w:rsid w:val="003C4278"/>
    <w:rsid w:val="003D0D76"/>
    <w:rsid w:val="003D4497"/>
    <w:rsid w:val="003E48D6"/>
    <w:rsid w:val="003E7F23"/>
    <w:rsid w:val="003F352B"/>
    <w:rsid w:val="00420146"/>
    <w:rsid w:val="00421528"/>
    <w:rsid w:val="00440C35"/>
    <w:rsid w:val="00454D0A"/>
    <w:rsid w:val="00481092"/>
    <w:rsid w:val="00493ED1"/>
    <w:rsid w:val="00495493"/>
    <w:rsid w:val="004A533A"/>
    <w:rsid w:val="004C1B5A"/>
    <w:rsid w:val="004C5EF0"/>
    <w:rsid w:val="004C68C9"/>
    <w:rsid w:val="004C7872"/>
    <w:rsid w:val="004D6E55"/>
    <w:rsid w:val="004D75B8"/>
    <w:rsid w:val="004E1D80"/>
    <w:rsid w:val="004E3B0E"/>
    <w:rsid w:val="004E527C"/>
    <w:rsid w:val="004E5CAB"/>
    <w:rsid w:val="00500F68"/>
    <w:rsid w:val="00510C83"/>
    <w:rsid w:val="00517210"/>
    <w:rsid w:val="00527672"/>
    <w:rsid w:val="00527A22"/>
    <w:rsid w:val="005363E0"/>
    <w:rsid w:val="00540268"/>
    <w:rsid w:val="005428A1"/>
    <w:rsid w:val="00547BF2"/>
    <w:rsid w:val="00551550"/>
    <w:rsid w:val="00555711"/>
    <w:rsid w:val="00592C53"/>
    <w:rsid w:val="005A1271"/>
    <w:rsid w:val="005A6268"/>
    <w:rsid w:val="005B3518"/>
    <w:rsid w:val="005C55F3"/>
    <w:rsid w:val="005C7367"/>
    <w:rsid w:val="005D6BEC"/>
    <w:rsid w:val="005E4628"/>
    <w:rsid w:val="005F0CA5"/>
    <w:rsid w:val="005F7357"/>
    <w:rsid w:val="00600A57"/>
    <w:rsid w:val="00604F30"/>
    <w:rsid w:val="00622180"/>
    <w:rsid w:val="0063201B"/>
    <w:rsid w:val="00632037"/>
    <w:rsid w:val="0063301A"/>
    <w:rsid w:val="006431BA"/>
    <w:rsid w:val="00643314"/>
    <w:rsid w:val="0064736E"/>
    <w:rsid w:val="0065792B"/>
    <w:rsid w:val="006628BF"/>
    <w:rsid w:val="00663BF0"/>
    <w:rsid w:val="006649D9"/>
    <w:rsid w:val="00673895"/>
    <w:rsid w:val="00673BA1"/>
    <w:rsid w:val="006775E4"/>
    <w:rsid w:val="00680CC4"/>
    <w:rsid w:val="00682C03"/>
    <w:rsid w:val="00684376"/>
    <w:rsid w:val="00695053"/>
    <w:rsid w:val="006A13B7"/>
    <w:rsid w:val="006A1A1A"/>
    <w:rsid w:val="006A6B8E"/>
    <w:rsid w:val="006B39BE"/>
    <w:rsid w:val="006D46C4"/>
    <w:rsid w:val="006D6B72"/>
    <w:rsid w:val="006E5295"/>
    <w:rsid w:val="006E5FCE"/>
    <w:rsid w:val="006E76BE"/>
    <w:rsid w:val="006F5CC0"/>
    <w:rsid w:val="006F78C9"/>
    <w:rsid w:val="0074738F"/>
    <w:rsid w:val="00754B2E"/>
    <w:rsid w:val="00772137"/>
    <w:rsid w:val="007949F0"/>
    <w:rsid w:val="00794E6E"/>
    <w:rsid w:val="007954E0"/>
    <w:rsid w:val="007B0ACC"/>
    <w:rsid w:val="007B0D08"/>
    <w:rsid w:val="007B4113"/>
    <w:rsid w:val="007C2BB9"/>
    <w:rsid w:val="007D099F"/>
    <w:rsid w:val="007D6B17"/>
    <w:rsid w:val="007E295F"/>
    <w:rsid w:val="007E5144"/>
    <w:rsid w:val="007F20A5"/>
    <w:rsid w:val="007F5A53"/>
    <w:rsid w:val="007F5D3A"/>
    <w:rsid w:val="00814BFE"/>
    <w:rsid w:val="00817677"/>
    <w:rsid w:val="0082175C"/>
    <w:rsid w:val="00822ABA"/>
    <w:rsid w:val="008333E1"/>
    <w:rsid w:val="008402B3"/>
    <w:rsid w:val="008635BD"/>
    <w:rsid w:val="008658B5"/>
    <w:rsid w:val="00871417"/>
    <w:rsid w:val="00875CBB"/>
    <w:rsid w:val="00883E4C"/>
    <w:rsid w:val="00884D65"/>
    <w:rsid w:val="00886F3A"/>
    <w:rsid w:val="0089580D"/>
    <w:rsid w:val="008972ED"/>
    <w:rsid w:val="0089757E"/>
    <w:rsid w:val="00897AFE"/>
    <w:rsid w:val="008A2FDD"/>
    <w:rsid w:val="008A7966"/>
    <w:rsid w:val="008B51AB"/>
    <w:rsid w:val="008C5A5E"/>
    <w:rsid w:val="008C5F58"/>
    <w:rsid w:val="008C6D6C"/>
    <w:rsid w:val="008E2C2A"/>
    <w:rsid w:val="008E434C"/>
    <w:rsid w:val="008F1345"/>
    <w:rsid w:val="00910F8A"/>
    <w:rsid w:val="00911A16"/>
    <w:rsid w:val="00912395"/>
    <w:rsid w:val="00913FD6"/>
    <w:rsid w:val="00916181"/>
    <w:rsid w:val="0091751C"/>
    <w:rsid w:val="0093666D"/>
    <w:rsid w:val="00943BFD"/>
    <w:rsid w:val="0095136B"/>
    <w:rsid w:val="0095604F"/>
    <w:rsid w:val="0096195E"/>
    <w:rsid w:val="00963803"/>
    <w:rsid w:val="00964856"/>
    <w:rsid w:val="009648A0"/>
    <w:rsid w:val="00965F91"/>
    <w:rsid w:val="00970023"/>
    <w:rsid w:val="00973409"/>
    <w:rsid w:val="00976FF1"/>
    <w:rsid w:val="009772C5"/>
    <w:rsid w:val="00992EE4"/>
    <w:rsid w:val="00994C70"/>
    <w:rsid w:val="00996298"/>
    <w:rsid w:val="009A3C0F"/>
    <w:rsid w:val="009B27BB"/>
    <w:rsid w:val="009B357E"/>
    <w:rsid w:val="009B74D0"/>
    <w:rsid w:val="009C6662"/>
    <w:rsid w:val="009C6665"/>
    <w:rsid w:val="009D4FAE"/>
    <w:rsid w:val="009D72B3"/>
    <w:rsid w:val="009E2A00"/>
    <w:rsid w:val="009E3077"/>
    <w:rsid w:val="009E3829"/>
    <w:rsid w:val="009E7D42"/>
    <w:rsid w:val="00A10613"/>
    <w:rsid w:val="00A159F6"/>
    <w:rsid w:val="00A17CB8"/>
    <w:rsid w:val="00A33BA9"/>
    <w:rsid w:val="00A432FD"/>
    <w:rsid w:val="00A51871"/>
    <w:rsid w:val="00A60590"/>
    <w:rsid w:val="00AA1DC1"/>
    <w:rsid w:val="00AA6122"/>
    <w:rsid w:val="00AB2715"/>
    <w:rsid w:val="00AB615E"/>
    <w:rsid w:val="00AC4159"/>
    <w:rsid w:val="00AD5A7F"/>
    <w:rsid w:val="00AF0177"/>
    <w:rsid w:val="00AF5058"/>
    <w:rsid w:val="00AF67E7"/>
    <w:rsid w:val="00B07349"/>
    <w:rsid w:val="00B133D7"/>
    <w:rsid w:val="00B20CCD"/>
    <w:rsid w:val="00B23DF5"/>
    <w:rsid w:val="00B24B8F"/>
    <w:rsid w:val="00B338A6"/>
    <w:rsid w:val="00B4296D"/>
    <w:rsid w:val="00B528D2"/>
    <w:rsid w:val="00B55B2E"/>
    <w:rsid w:val="00B62F69"/>
    <w:rsid w:val="00B746E6"/>
    <w:rsid w:val="00B849F3"/>
    <w:rsid w:val="00B860FD"/>
    <w:rsid w:val="00B87740"/>
    <w:rsid w:val="00B9183B"/>
    <w:rsid w:val="00B945FD"/>
    <w:rsid w:val="00B94E06"/>
    <w:rsid w:val="00BA114C"/>
    <w:rsid w:val="00BB0C0F"/>
    <w:rsid w:val="00BB1EC9"/>
    <w:rsid w:val="00BC15AE"/>
    <w:rsid w:val="00BC39AC"/>
    <w:rsid w:val="00BC4042"/>
    <w:rsid w:val="00BF33B8"/>
    <w:rsid w:val="00BF50BA"/>
    <w:rsid w:val="00BF7F10"/>
    <w:rsid w:val="00C047E0"/>
    <w:rsid w:val="00C11218"/>
    <w:rsid w:val="00C20A9C"/>
    <w:rsid w:val="00C2466B"/>
    <w:rsid w:val="00C34905"/>
    <w:rsid w:val="00C461BF"/>
    <w:rsid w:val="00C62692"/>
    <w:rsid w:val="00C63124"/>
    <w:rsid w:val="00C651BE"/>
    <w:rsid w:val="00C8605D"/>
    <w:rsid w:val="00C96F61"/>
    <w:rsid w:val="00CA5731"/>
    <w:rsid w:val="00CB28E2"/>
    <w:rsid w:val="00CB5E82"/>
    <w:rsid w:val="00CC3B81"/>
    <w:rsid w:val="00CC5482"/>
    <w:rsid w:val="00CC6317"/>
    <w:rsid w:val="00CE0D9F"/>
    <w:rsid w:val="00CF3CD3"/>
    <w:rsid w:val="00D02E1C"/>
    <w:rsid w:val="00D0647A"/>
    <w:rsid w:val="00D23E83"/>
    <w:rsid w:val="00D42E11"/>
    <w:rsid w:val="00D42E80"/>
    <w:rsid w:val="00D5748E"/>
    <w:rsid w:val="00D5758D"/>
    <w:rsid w:val="00D57E80"/>
    <w:rsid w:val="00D61501"/>
    <w:rsid w:val="00D70EC4"/>
    <w:rsid w:val="00D7163A"/>
    <w:rsid w:val="00D8385C"/>
    <w:rsid w:val="00D85BCD"/>
    <w:rsid w:val="00D967FD"/>
    <w:rsid w:val="00D971A4"/>
    <w:rsid w:val="00DA142D"/>
    <w:rsid w:val="00DB29C5"/>
    <w:rsid w:val="00DB462F"/>
    <w:rsid w:val="00DE0C16"/>
    <w:rsid w:val="00DE5154"/>
    <w:rsid w:val="00DF013B"/>
    <w:rsid w:val="00DF34BE"/>
    <w:rsid w:val="00E15244"/>
    <w:rsid w:val="00E23308"/>
    <w:rsid w:val="00E4699B"/>
    <w:rsid w:val="00E60B61"/>
    <w:rsid w:val="00E62BD6"/>
    <w:rsid w:val="00E645B2"/>
    <w:rsid w:val="00E722C2"/>
    <w:rsid w:val="00E76BD2"/>
    <w:rsid w:val="00EA4089"/>
    <w:rsid w:val="00EB1348"/>
    <w:rsid w:val="00EC6552"/>
    <w:rsid w:val="00ED07A2"/>
    <w:rsid w:val="00ED3053"/>
    <w:rsid w:val="00ED51D7"/>
    <w:rsid w:val="00EE0000"/>
    <w:rsid w:val="00EE7F5B"/>
    <w:rsid w:val="00EF3227"/>
    <w:rsid w:val="00EF6B2D"/>
    <w:rsid w:val="00EF7EFD"/>
    <w:rsid w:val="00F01C01"/>
    <w:rsid w:val="00F06B20"/>
    <w:rsid w:val="00F1616C"/>
    <w:rsid w:val="00F21EB7"/>
    <w:rsid w:val="00F22E7A"/>
    <w:rsid w:val="00F2742B"/>
    <w:rsid w:val="00F33E69"/>
    <w:rsid w:val="00F403B9"/>
    <w:rsid w:val="00F44B0B"/>
    <w:rsid w:val="00F46AD3"/>
    <w:rsid w:val="00F54971"/>
    <w:rsid w:val="00F57AC3"/>
    <w:rsid w:val="00F6576E"/>
    <w:rsid w:val="00F95BAA"/>
    <w:rsid w:val="00FA50FB"/>
    <w:rsid w:val="00FA52EA"/>
    <w:rsid w:val="00FA5D6D"/>
    <w:rsid w:val="00FB287D"/>
    <w:rsid w:val="00FC3FDD"/>
    <w:rsid w:val="00FD73E6"/>
    <w:rsid w:val="00FD7DF7"/>
    <w:rsid w:val="00FE1975"/>
    <w:rsid w:val="00FE781B"/>
    <w:rsid w:val="00FF53F9"/>
    <w:rsid w:val="24524630"/>
    <w:rsid w:val="424CECC4"/>
    <w:rsid w:val="50DFA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ED10E"/>
  <w15:docId w15:val="{6ED4BA08-701C-4722-A0CC-C093E1A1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80"/>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992EE4"/>
    <w:pPr>
      <w:outlineLvl w:val="0"/>
    </w:pPr>
    <w:rPr>
      <w:u w:val="single"/>
    </w:rPr>
  </w:style>
  <w:style w:type="paragraph" w:styleId="Heading2">
    <w:name w:val="heading 2"/>
    <w:basedOn w:val="Normal"/>
    <w:next w:val="Normal"/>
    <w:link w:val="Heading2Char"/>
    <w:uiPriority w:val="2"/>
    <w:qFormat/>
    <w:rsid w:val="00B23DF5"/>
    <w:pPr>
      <w:keepNext/>
      <w:autoSpaceDE w:val="0"/>
      <w:autoSpaceDN w:val="0"/>
      <w:adjustRightInd w:val="0"/>
      <w:outlineLvl w:val="1"/>
    </w:pPr>
    <w:rPr>
      <w:b/>
      <w:bCs/>
      <w:i/>
      <w:iCs/>
      <w:sz w:val="20"/>
      <w:szCs w:val="20"/>
    </w:rPr>
  </w:style>
  <w:style w:type="paragraph" w:styleId="Heading3">
    <w:name w:val="heading 3"/>
    <w:basedOn w:val="Normal"/>
    <w:next w:val="Normal"/>
    <w:link w:val="Heading3Char"/>
    <w:uiPriority w:val="2"/>
    <w:unhideWhenUsed/>
    <w:qFormat/>
    <w:rsid w:val="00271760"/>
    <w:pPr>
      <w:keepNext/>
      <w:keepLines/>
      <w:spacing w:before="200"/>
      <w:jc w:val="left"/>
      <w:outlineLvl w:val="2"/>
    </w:pPr>
    <w:rPr>
      <w:rFonts w:asciiTheme="majorHAnsi" w:eastAsiaTheme="majorEastAsia" w:hAnsiTheme="majorHAnsi" w:cstheme="majorBidi"/>
      <w:b/>
      <w:bCs/>
      <w:color w:val="4F81BD" w:themeColor="accent1"/>
      <w:sz w:val="18"/>
      <w:szCs w:val="20"/>
    </w:rPr>
  </w:style>
  <w:style w:type="paragraph" w:styleId="Heading4">
    <w:name w:val="heading 4"/>
    <w:basedOn w:val="Normal"/>
    <w:next w:val="Normal"/>
    <w:link w:val="Heading4Char"/>
    <w:uiPriority w:val="2"/>
    <w:qFormat/>
    <w:rsid w:val="00271760"/>
    <w:pPr>
      <w:keepNext/>
      <w:tabs>
        <w:tab w:val="left" w:pos="720"/>
        <w:tab w:val="left" w:pos="1440"/>
        <w:tab w:val="left" w:pos="2160"/>
        <w:tab w:val="left" w:pos="2880"/>
        <w:tab w:val="left" w:pos="3600"/>
        <w:tab w:val="left" w:pos="4320"/>
        <w:tab w:val="left" w:pos="5040"/>
        <w:tab w:val="left" w:pos="5760"/>
        <w:tab w:val="left" w:pos="6480"/>
      </w:tabs>
      <w:jc w:val="center"/>
      <w:outlineLvl w:val="3"/>
    </w:pPr>
    <w:rPr>
      <w:rFonts w:ascii="Times New Roman" w:hAnsi="Times New Roman"/>
      <w:snapToGrid w:val="0"/>
      <w:color w:val="000000"/>
      <w:szCs w:val="20"/>
    </w:rPr>
  </w:style>
  <w:style w:type="paragraph" w:styleId="Heading5">
    <w:name w:val="heading 5"/>
    <w:basedOn w:val="Normal"/>
    <w:next w:val="Normal"/>
    <w:link w:val="Heading5Char"/>
    <w:uiPriority w:val="2"/>
    <w:qFormat/>
    <w:rsid w:val="00271760"/>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b/>
      <w:snapToGrid w:val="0"/>
      <w:color w:val="000000"/>
      <w:szCs w:val="20"/>
    </w:rPr>
  </w:style>
  <w:style w:type="paragraph" w:styleId="Heading6">
    <w:name w:val="heading 6"/>
    <w:basedOn w:val="Normal"/>
    <w:next w:val="Normal"/>
    <w:link w:val="Heading6Char"/>
    <w:uiPriority w:val="2"/>
    <w:unhideWhenUsed/>
    <w:qFormat/>
    <w:rsid w:val="003D0D76"/>
    <w:pPr>
      <w:spacing w:before="240" w:after="60"/>
      <w:outlineLvl w:val="5"/>
    </w:pPr>
    <w:rPr>
      <w:rFonts w:ascii="Calibri" w:hAnsi="Calibri"/>
      <w:b/>
      <w:bCs/>
      <w:szCs w:val="22"/>
    </w:rPr>
  </w:style>
  <w:style w:type="paragraph" w:styleId="Heading7">
    <w:name w:val="heading 7"/>
    <w:basedOn w:val="Normal"/>
    <w:next w:val="Normal"/>
    <w:link w:val="Heading7Char"/>
    <w:uiPriority w:val="2"/>
    <w:qFormat/>
    <w:rsid w:val="00271760"/>
    <w:pPr>
      <w:keepNext/>
      <w:outlineLvl w:val="6"/>
    </w:pPr>
    <w:rPr>
      <w:rFonts w:ascii="Times New Roman" w:hAnsi="Times New Roman"/>
      <w:b/>
      <w:bCs/>
      <w:sz w:val="18"/>
      <w:szCs w:val="20"/>
    </w:rPr>
  </w:style>
  <w:style w:type="paragraph" w:styleId="Heading8">
    <w:name w:val="heading 8"/>
    <w:basedOn w:val="Normal"/>
    <w:next w:val="Normal"/>
    <w:link w:val="Heading8Char"/>
    <w:uiPriority w:val="2"/>
    <w:qFormat/>
    <w:rsid w:val="00271760"/>
    <w:pPr>
      <w:spacing w:before="240" w:after="60"/>
      <w:jc w:val="left"/>
      <w:outlineLvl w:val="7"/>
    </w:pPr>
    <w:rPr>
      <w:rFonts w:ascii="Times New Roman" w:hAnsi="Times New Roman"/>
      <w:i/>
      <w:iCs/>
      <w:sz w:val="24"/>
    </w:rPr>
  </w:style>
  <w:style w:type="paragraph" w:styleId="Heading9">
    <w:name w:val="heading 9"/>
    <w:basedOn w:val="Normal"/>
    <w:next w:val="Normal"/>
    <w:link w:val="Heading9Char"/>
    <w:uiPriority w:val="2"/>
    <w:qFormat/>
    <w:rsid w:val="00271760"/>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B23DF5"/>
    <w:pPr>
      <w:tabs>
        <w:tab w:val="center" w:pos="4320"/>
        <w:tab w:val="right" w:pos="8640"/>
      </w:tabs>
    </w:pPr>
  </w:style>
  <w:style w:type="paragraph" w:styleId="BodyText">
    <w:name w:val="Body Text"/>
    <w:basedOn w:val="Normal"/>
    <w:link w:val="BodyTextChar1"/>
    <w:uiPriority w:val="2"/>
    <w:qFormat/>
    <w:rsid w:val="00B23DF5"/>
    <w:pPr>
      <w:widowControl w:val="0"/>
      <w:tabs>
        <w:tab w:val="left" w:pos="720"/>
        <w:tab w:val="left" w:pos="1440"/>
        <w:tab w:val="left" w:pos="2160"/>
        <w:tab w:val="left" w:pos="2880"/>
        <w:tab w:val="left" w:pos="3600"/>
        <w:tab w:val="left" w:pos="4320"/>
        <w:tab w:val="left" w:pos="5040"/>
        <w:tab w:val="left" w:pos="5760"/>
        <w:tab w:val="left" w:pos="6480"/>
      </w:tabs>
    </w:pPr>
    <w:rPr>
      <w:snapToGrid w:val="0"/>
      <w:color w:val="000000"/>
      <w:sz w:val="18"/>
      <w:szCs w:val="20"/>
    </w:rPr>
  </w:style>
  <w:style w:type="paragraph" w:styleId="ListParagraph">
    <w:name w:val="List Paragraph"/>
    <w:basedOn w:val="Normal"/>
    <w:uiPriority w:val="34"/>
    <w:qFormat/>
    <w:rsid w:val="00DB29C5"/>
    <w:pPr>
      <w:ind w:left="720"/>
      <w:contextualSpacing/>
    </w:pPr>
  </w:style>
  <w:style w:type="paragraph" w:customStyle="1" w:styleId="Default">
    <w:name w:val="Default"/>
    <w:link w:val="DefaultChar"/>
    <w:uiPriority w:val="2"/>
    <w:rsid w:val="00DB29C5"/>
    <w:pPr>
      <w:autoSpaceDE w:val="0"/>
      <w:autoSpaceDN w:val="0"/>
      <w:adjustRightInd w:val="0"/>
    </w:pPr>
    <w:rPr>
      <w:color w:val="000000"/>
      <w:sz w:val="24"/>
      <w:szCs w:val="24"/>
    </w:rPr>
  </w:style>
  <w:style w:type="table" w:styleId="TableGrid">
    <w:name w:val="Table Grid"/>
    <w:basedOn w:val="TableNormal"/>
    <w:uiPriority w:val="59"/>
    <w:rsid w:val="005B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2"/>
    <w:rsid w:val="00D42E80"/>
    <w:rPr>
      <w:rFonts w:ascii="Calibri" w:hAnsi="Calibri"/>
      <w:b/>
      <w:bCs/>
      <w:sz w:val="22"/>
      <w:szCs w:val="22"/>
    </w:rPr>
  </w:style>
  <w:style w:type="paragraph" w:styleId="BodyTextIndent">
    <w:name w:val="Body Text Indent"/>
    <w:basedOn w:val="Normal"/>
    <w:link w:val="BodyTextIndentChar"/>
    <w:uiPriority w:val="2"/>
    <w:semiHidden/>
    <w:unhideWhenUsed/>
    <w:rsid w:val="003D0D76"/>
    <w:pPr>
      <w:spacing w:after="120"/>
      <w:ind w:left="360"/>
    </w:pPr>
  </w:style>
  <w:style w:type="character" w:customStyle="1" w:styleId="BodyTextIndentChar">
    <w:name w:val="Body Text Indent Char"/>
    <w:link w:val="BodyTextIndent"/>
    <w:uiPriority w:val="2"/>
    <w:semiHidden/>
    <w:rsid w:val="00D42E80"/>
    <w:rPr>
      <w:rFonts w:ascii="Arial" w:hAnsi="Arial"/>
      <w:sz w:val="22"/>
      <w:szCs w:val="24"/>
    </w:rPr>
  </w:style>
  <w:style w:type="paragraph" w:styleId="BodyText3">
    <w:name w:val="Body Text 3"/>
    <w:basedOn w:val="Normal"/>
    <w:link w:val="BodyText3Char"/>
    <w:uiPriority w:val="2"/>
    <w:semiHidden/>
    <w:unhideWhenUsed/>
    <w:rsid w:val="00D23E83"/>
    <w:pPr>
      <w:spacing w:after="120"/>
    </w:pPr>
    <w:rPr>
      <w:sz w:val="16"/>
      <w:szCs w:val="16"/>
    </w:rPr>
  </w:style>
  <w:style w:type="character" w:customStyle="1" w:styleId="BodyText3Char">
    <w:name w:val="Body Text 3 Char"/>
    <w:link w:val="BodyText3"/>
    <w:uiPriority w:val="2"/>
    <w:semiHidden/>
    <w:rsid w:val="00D42E80"/>
    <w:rPr>
      <w:rFonts w:ascii="Arial" w:hAnsi="Arial"/>
      <w:sz w:val="16"/>
      <w:szCs w:val="16"/>
    </w:rPr>
  </w:style>
  <w:style w:type="paragraph" w:styleId="BodyTextIndent2">
    <w:name w:val="Body Text Indent 2"/>
    <w:basedOn w:val="Normal"/>
    <w:link w:val="BodyTextIndent2Char"/>
    <w:uiPriority w:val="2"/>
    <w:unhideWhenUsed/>
    <w:rsid w:val="00D23E83"/>
    <w:pPr>
      <w:spacing w:after="120" w:line="480" w:lineRule="auto"/>
      <w:ind w:left="360"/>
    </w:pPr>
  </w:style>
  <w:style w:type="character" w:customStyle="1" w:styleId="BodyTextIndent2Char">
    <w:name w:val="Body Text Indent 2 Char"/>
    <w:link w:val="BodyTextIndent2"/>
    <w:uiPriority w:val="2"/>
    <w:rsid w:val="00D42E80"/>
    <w:rPr>
      <w:rFonts w:ascii="Arial" w:hAnsi="Arial"/>
      <w:sz w:val="22"/>
      <w:szCs w:val="24"/>
    </w:rPr>
  </w:style>
  <w:style w:type="paragraph" w:customStyle="1" w:styleId="SectionHeader">
    <w:name w:val="Section Header"/>
    <w:autoRedefine/>
    <w:rsid w:val="00057718"/>
    <w:pPr>
      <w:jc w:val="both"/>
    </w:pPr>
    <w:rPr>
      <w:b/>
      <w:noProof/>
      <w:sz w:val="22"/>
    </w:rPr>
  </w:style>
  <w:style w:type="paragraph" w:customStyle="1" w:styleId="Body">
    <w:name w:val="Body"/>
    <w:uiPriority w:val="2"/>
    <w:rsid w:val="000779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2">
    <w:name w:val="Body Text 2"/>
    <w:basedOn w:val="Normal"/>
    <w:link w:val="BodyText2Char"/>
    <w:uiPriority w:val="2"/>
    <w:semiHidden/>
    <w:unhideWhenUsed/>
    <w:rsid w:val="006F78C9"/>
    <w:pPr>
      <w:spacing w:after="120" w:line="480" w:lineRule="auto"/>
    </w:pPr>
  </w:style>
  <w:style w:type="character" w:customStyle="1" w:styleId="BodyText2Char">
    <w:name w:val="Body Text 2 Char"/>
    <w:link w:val="BodyText2"/>
    <w:uiPriority w:val="2"/>
    <w:semiHidden/>
    <w:rsid w:val="00D42E80"/>
    <w:rPr>
      <w:rFonts w:ascii="Arial" w:hAnsi="Arial"/>
      <w:sz w:val="22"/>
      <w:szCs w:val="24"/>
    </w:rPr>
  </w:style>
  <w:style w:type="character" w:styleId="Hyperlink">
    <w:name w:val="Hyperlink"/>
    <w:uiPriority w:val="99"/>
    <w:unhideWhenUsed/>
    <w:rsid w:val="00AA1DC1"/>
    <w:rPr>
      <w:color w:val="0000FF"/>
      <w:u w:val="single"/>
    </w:rPr>
  </w:style>
  <w:style w:type="character" w:styleId="FollowedHyperlink">
    <w:name w:val="FollowedHyperlink"/>
    <w:uiPriority w:val="99"/>
    <w:semiHidden/>
    <w:unhideWhenUsed/>
    <w:rsid w:val="00AA1DC1"/>
    <w:rPr>
      <w:color w:val="800080"/>
      <w:u w:val="single"/>
    </w:rPr>
  </w:style>
  <w:style w:type="paragraph" w:styleId="BalloonText">
    <w:name w:val="Balloon Text"/>
    <w:basedOn w:val="Normal"/>
    <w:link w:val="BalloonTextChar"/>
    <w:uiPriority w:val="2"/>
    <w:semiHidden/>
    <w:unhideWhenUsed/>
    <w:rsid w:val="00E62BD6"/>
    <w:rPr>
      <w:rFonts w:ascii="Tahoma" w:hAnsi="Tahoma" w:cs="Tahoma"/>
      <w:sz w:val="16"/>
      <w:szCs w:val="16"/>
    </w:rPr>
  </w:style>
  <w:style w:type="character" w:customStyle="1" w:styleId="BalloonTextChar">
    <w:name w:val="Balloon Text Char"/>
    <w:basedOn w:val="DefaultParagraphFont"/>
    <w:link w:val="BalloonText"/>
    <w:uiPriority w:val="2"/>
    <w:semiHidden/>
    <w:rsid w:val="00D42E80"/>
    <w:rPr>
      <w:rFonts w:ascii="Tahoma" w:hAnsi="Tahoma" w:cs="Tahoma"/>
      <w:sz w:val="16"/>
      <w:szCs w:val="16"/>
    </w:rPr>
  </w:style>
  <w:style w:type="paragraph" w:styleId="NormalWeb">
    <w:name w:val="Normal (Web)"/>
    <w:basedOn w:val="Normal"/>
    <w:semiHidden/>
    <w:unhideWhenUsed/>
    <w:rsid w:val="00F21EB7"/>
    <w:pPr>
      <w:spacing w:before="100" w:beforeAutospacing="1" w:after="100" w:afterAutospacing="1"/>
      <w:jc w:val="left"/>
    </w:pPr>
    <w:rPr>
      <w:rFonts w:ascii="Times New Roman" w:hAnsi="Times New Roman"/>
      <w:sz w:val="24"/>
    </w:rPr>
  </w:style>
  <w:style w:type="table" w:customStyle="1" w:styleId="TableGrid1">
    <w:name w:val="Table Grid1"/>
    <w:basedOn w:val="TableNormal"/>
    <w:next w:val="TableGrid"/>
    <w:uiPriority w:val="59"/>
    <w:rsid w:val="00592C5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2"/>
    <w:rsid w:val="00D42E80"/>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uiPriority w:val="2"/>
    <w:rsid w:val="00D42E80"/>
    <w:rPr>
      <w:snapToGrid w:val="0"/>
      <w:color w:val="000000"/>
      <w:sz w:val="22"/>
    </w:rPr>
  </w:style>
  <w:style w:type="character" w:customStyle="1" w:styleId="Heading5Char">
    <w:name w:val="Heading 5 Char"/>
    <w:basedOn w:val="DefaultParagraphFont"/>
    <w:link w:val="Heading5"/>
    <w:uiPriority w:val="2"/>
    <w:rsid w:val="00D42E80"/>
    <w:rPr>
      <w:rFonts w:ascii="Arial" w:hAnsi="Arial"/>
      <w:b/>
      <w:snapToGrid w:val="0"/>
      <w:color w:val="000000"/>
      <w:sz w:val="22"/>
    </w:rPr>
  </w:style>
  <w:style w:type="character" w:customStyle="1" w:styleId="Heading7Char">
    <w:name w:val="Heading 7 Char"/>
    <w:basedOn w:val="DefaultParagraphFont"/>
    <w:link w:val="Heading7"/>
    <w:uiPriority w:val="2"/>
    <w:rsid w:val="00D42E80"/>
    <w:rPr>
      <w:b/>
      <w:bCs/>
      <w:sz w:val="18"/>
    </w:rPr>
  </w:style>
  <w:style w:type="character" w:customStyle="1" w:styleId="Heading8Char">
    <w:name w:val="Heading 8 Char"/>
    <w:basedOn w:val="DefaultParagraphFont"/>
    <w:link w:val="Heading8"/>
    <w:uiPriority w:val="2"/>
    <w:rsid w:val="00D42E80"/>
    <w:rPr>
      <w:i/>
      <w:iCs/>
      <w:sz w:val="24"/>
      <w:szCs w:val="24"/>
    </w:rPr>
  </w:style>
  <w:style w:type="character" w:customStyle="1" w:styleId="Heading9Char">
    <w:name w:val="Heading 9 Char"/>
    <w:basedOn w:val="DefaultParagraphFont"/>
    <w:link w:val="Heading9"/>
    <w:uiPriority w:val="2"/>
    <w:rsid w:val="00D42E80"/>
    <w:rPr>
      <w:rFonts w:ascii="Arial" w:hAnsi="Arial" w:cs="Arial"/>
      <w:sz w:val="22"/>
      <w:szCs w:val="22"/>
    </w:rPr>
  </w:style>
  <w:style w:type="paragraph" w:customStyle="1" w:styleId="TableParagraph">
    <w:name w:val="Table Paragraph"/>
    <w:basedOn w:val="Normal"/>
    <w:uiPriority w:val="1"/>
    <w:qFormat/>
    <w:rsid w:val="00271760"/>
    <w:pPr>
      <w:widowControl w:val="0"/>
      <w:autoSpaceDE w:val="0"/>
      <w:autoSpaceDN w:val="0"/>
      <w:jc w:val="left"/>
    </w:pPr>
    <w:rPr>
      <w:rFonts w:ascii="Times New Roman" w:hAnsi="Times New Roman"/>
      <w:szCs w:val="22"/>
    </w:rPr>
  </w:style>
  <w:style w:type="character" w:styleId="CommentReference">
    <w:name w:val="annotation reference"/>
    <w:basedOn w:val="DefaultParagraphFont"/>
    <w:uiPriority w:val="2"/>
    <w:semiHidden/>
    <w:unhideWhenUsed/>
    <w:rsid w:val="00271760"/>
    <w:rPr>
      <w:sz w:val="16"/>
      <w:szCs w:val="16"/>
    </w:rPr>
  </w:style>
  <w:style w:type="paragraph" w:styleId="CommentText">
    <w:name w:val="annotation text"/>
    <w:basedOn w:val="Normal"/>
    <w:link w:val="CommentTextChar"/>
    <w:uiPriority w:val="99"/>
    <w:unhideWhenUsed/>
    <w:rsid w:val="00271760"/>
    <w:pPr>
      <w:widowControl w:val="0"/>
      <w:autoSpaceDE w:val="0"/>
      <w:autoSpaceDN w:val="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271760"/>
  </w:style>
  <w:style w:type="paragraph" w:styleId="CommentSubject">
    <w:name w:val="annotation subject"/>
    <w:basedOn w:val="CommentText"/>
    <w:next w:val="CommentText"/>
    <w:link w:val="CommentSubjectChar"/>
    <w:uiPriority w:val="99"/>
    <w:semiHidden/>
    <w:unhideWhenUsed/>
    <w:rsid w:val="00271760"/>
    <w:rPr>
      <w:b/>
      <w:bCs/>
    </w:rPr>
  </w:style>
  <w:style w:type="character" w:customStyle="1" w:styleId="CommentSubjectChar">
    <w:name w:val="Comment Subject Char"/>
    <w:basedOn w:val="CommentTextChar"/>
    <w:link w:val="CommentSubject"/>
    <w:uiPriority w:val="99"/>
    <w:semiHidden/>
    <w:rsid w:val="00271760"/>
    <w:rPr>
      <w:b/>
      <w:bCs/>
    </w:rPr>
  </w:style>
  <w:style w:type="paragraph" w:customStyle="1" w:styleId="SectionTitle">
    <w:name w:val="Section Title"/>
    <w:rsid w:val="00271760"/>
    <w:pPr>
      <w:jc w:val="center"/>
    </w:pPr>
    <w:rPr>
      <w:b/>
      <w:noProof/>
      <w:sz w:val="96"/>
    </w:rPr>
  </w:style>
  <w:style w:type="character" w:styleId="UnresolvedMention">
    <w:name w:val="Unresolved Mention"/>
    <w:basedOn w:val="DefaultParagraphFont"/>
    <w:uiPriority w:val="99"/>
    <w:semiHidden/>
    <w:unhideWhenUsed/>
    <w:rsid w:val="00271760"/>
    <w:rPr>
      <w:color w:val="605E5C"/>
      <w:shd w:val="clear" w:color="auto" w:fill="E1DFDD"/>
    </w:rPr>
  </w:style>
  <w:style w:type="paragraph" w:styleId="Revision">
    <w:name w:val="Revision"/>
    <w:hidden/>
    <w:uiPriority w:val="99"/>
    <w:semiHidden/>
    <w:rsid w:val="00271760"/>
    <w:rPr>
      <w:sz w:val="22"/>
      <w:szCs w:val="22"/>
    </w:rPr>
  </w:style>
  <w:style w:type="numbering" w:customStyle="1" w:styleId="CurrentList1">
    <w:name w:val="Current List1"/>
    <w:uiPriority w:val="99"/>
    <w:rsid w:val="00271760"/>
    <w:pPr>
      <w:numPr>
        <w:numId w:val="1"/>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271760"/>
    <w:rPr>
      <w:rFonts w:ascii="Arial" w:hAnsi="Arial"/>
      <w:sz w:val="22"/>
      <w:szCs w:val="24"/>
      <w:u w:val="single"/>
    </w:rPr>
  </w:style>
  <w:style w:type="character" w:customStyle="1" w:styleId="Heading2Char">
    <w:name w:val="Heading 2 Char"/>
    <w:basedOn w:val="DefaultParagraphFont"/>
    <w:link w:val="Heading2"/>
    <w:uiPriority w:val="2"/>
    <w:rsid w:val="00D42E80"/>
    <w:rPr>
      <w:rFonts w:ascii="Arial" w:hAnsi="Arial"/>
      <w:b/>
      <w:bCs/>
      <w:i/>
      <w:iCs/>
    </w:rPr>
  </w:style>
  <w:style w:type="character" w:customStyle="1" w:styleId="HeaderChar">
    <w:name w:val="Header Char"/>
    <w:basedOn w:val="DefaultParagraphFont"/>
    <w:link w:val="Header"/>
    <w:uiPriority w:val="2"/>
    <w:rsid w:val="00D42E80"/>
    <w:rPr>
      <w:rFonts w:ascii="Arial" w:hAnsi="Arial"/>
      <w:sz w:val="22"/>
      <w:szCs w:val="24"/>
    </w:rPr>
  </w:style>
  <w:style w:type="paragraph" w:customStyle="1" w:styleId="Sec101">
    <w:name w:val="Sec101"/>
    <w:basedOn w:val="Normal"/>
    <w:rsid w:val="00271760"/>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character" w:styleId="PageNumber">
    <w:name w:val="page number"/>
    <w:basedOn w:val="DefaultParagraphFont"/>
    <w:semiHidden/>
    <w:rsid w:val="00271760"/>
  </w:style>
  <w:style w:type="paragraph" w:styleId="Footer">
    <w:name w:val="footer"/>
    <w:basedOn w:val="Normal"/>
    <w:link w:val="FooterChar"/>
    <w:uiPriority w:val="99"/>
    <w:rsid w:val="00271760"/>
    <w:pPr>
      <w:tabs>
        <w:tab w:val="center" w:pos="4320"/>
        <w:tab w:val="right" w:pos="8640"/>
      </w:tabs>
      <w:jc w:val="left"/>
    </w:pPr>
    <w:rPr>
      <w:rFonts w:ascii="Times New Roman" w:hAnsi="Times New Roman"/>
      <w:sz w:val="18"/>
      <w:szCs w:val="20"/>
    </w:rPr>
  </w:style>
  <w:style w:type="character" w:customStyle="1" w:styleId="FooterChar">
    <w:name w:val="Footer Char"/>
    <w:basedOn w:val="DefaultParagraphFont"/>
    <w:link w:val="Footer"/>
    <w:uiPriority w:val="99"/>
    <w:rsid w:val="00271760"/>
    <w:rPr>
      <w:sz w:val="18"/>
    </w:rPr>
  </w:style>
  <w:style w:type="paragraph" w:styleId="Index2">
    <w:name w:val="index 2"/>
    <w:basedOn w:val="Normal"/>
    <w:next w:val="Normal"/>
    <w:autoRedefine/>
    <w:uiPriority w:val="99"/>
    <w:semiHidden/>
    <w:rsid w:val="00271760"/>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271760"/>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271760"/>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271760"/>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271760"/>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271760"/>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271760"/>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271760"/>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271760"/>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271760"/>
    <w:pPr>
      <w:jc w:val="left"/>
    </w:pPr>
    <w:rPr>
      <w:rFonts w:ascii="Times New Roman" w:hAnsi="Times New Roman"/>
      <w:sz w:val="18"/>
      <w:szCs w:val="20"/>
    </w:rPr>
  </w:style>
  <w:style w:type="paragraph" w:customStyle="1" w:styleId="SectionNumber">
    <w:name w:val="Section Number"/>
    <w:basedOn w:val="Normal"/>
    <w:qFormat/>
    <w:rsid w:val="00271760"/>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character" w:customStyle="1" w:styleId="BodyTextChar">
    <w:name w:val="Body Text Char"/>
    <w:basedOn w:val="DefaultParagraphFont"/>
    <w:uiPriority w:val="2"/>
    <w:semiHidden/>
    <w:rsid w:val="00271760"/>
    <w:rPr>
      <w:snapToGrid w:val="0"/>
      <w:color w:val="000000"/>
      <w:sz w:val="18"/>
    </w:rPr>
  </w:style>
  <w:style w:type="paragraph" w:customStyle="1" w:styleId="SectionHeader3">
    <w:name w:val="Section Header3"/>
    <w:autoRedefine/>
    <w:rsid w:val="00271760"/>
    <w:pPr>
      <w:jc w:val="center"/>
    </w:pPr>
    <w:rPr>
      <w:b/>
      <w:caps/>
      <w:noProof/>
      <w:sz w:val="22"/>
    </w:rPr>
  </w:style>
  <w:style w:type="paragraph" w:styleId="BodyTextIndent3">
    <w:name w:val="Body Text Indent 3"/>
    <w:basedOn w:val="Normal"/>
    <w:link w:val="BodyTextIndent3Char"/>
    <w:uiPriority w:val="2"/>
    <w:semiHidden/>
    <w:unhideWhenUsed/>
    <w:rsid w:val="00271760"/>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uiPriority w:val="2"/>
    <w:semiHidden/>
    <w:rsid w:val="00D42E80"/>
    <w:rPr>
      <w:sz w:val="16"/>
      <w:szCs w:val="16"/>
    </w:rPr>
  </w:style>
  <w:style w:type="paragraph" w:styleId="TOC1">
    <w:name w:val="toc 1"/>
    <w:basedOn w:val="Normal"/>
    <w:next w:val="Normal"/>
    <w:autoRedefine/>
    <w:uiPriority w:val="39"/>
    <w:unhideWhenUsed/>
    <w:rsid w:val="00271760"/>
    <w:pPr>
      <w:tabs>
        <w:tab w:val="left" w:pos="990"/>
        <w:tab w:val="right" w:leader="dot" w:pos="6830"/>
      </w:tabs>
      <w:spacing w:after="100"/>
      <w:ind w:left="630" w:hanging="630"/>
      <w:jc w:val="left"/>
    </w:pPr>
    <w:rPr>
      <w:rFonts w:ascii="Times New Roman" w:hAnsi="Times New Roman"/>
      <w:noProof/>
      <w:sz w:val="18"/>
      <w:szCs w:val="20"/>
    </w:rPr>
  </w:style>
  <w:style w:type="paragraph" w:styleId="TOC2">
    <w:name w:val="toc 2"/>
    <w:basedOn w:val="Normal"/>
    <w:next w:val="Normal"/>
    <w:autoRedefine/>
    <w:uiPriority w:val="39"/>
    <w:unhideWhenUsed/>
    <w:rsid w:val="00271760"/>
    <w:pPr>
      <w:spacing w:after="100"/>
      <w:ind w:left="180"/>
      <w:jc w:val="left"/>
    </w:pPr>
    <w:rPr>
      <w:rFonts w:ascii="Times New Roman" w:hAnsi="Times New Roman"/>
      <w:sz w:val="18"/>
      <w:szCs w:val="20"/>
    </w:rPr>
  </w:style>
  <w:style w:type="paragraph" w:styleId="List">
    <w:name w:val="List"/>
    <w:basedOn w:val="Normal"/>
    <w:uiPriority w:val="2"/>
    <w:semiHidden/>
    <w:rsid w:val="00271760"/>
    <w:pPr>
      <w:ind w:left="360" w:hanging="360"/>
      <w:jc w:val="left"/>
    </w:pPr>
    <w:rPr>
      <w:rFonts w:ascii="Times New Roman" w:hAnsi="Times New Roman"/>
      <w:sz w:val="18"/>
      <w:szCs w:val="20"/>
    </w:rPr>
  </w:style>
  <w:style w:type="paragraph" w:customStyle="1" w:styleId="SectionHeader19">
    <w:name w:val="Section Header19"/>
    <w:autoRedefine/>
    <w:rsid w:val="00271760"/>
    <w:pPr>
      <w:jc w:val="center"/>
    </w:pPr>
    <w:rPr>
      <w:b/>
      <w:caps/>
      <w:noProof/>
      <w:sz w:val="22"/>
    </w:rPr>
  </w:style>
  <w:style w:type="paragraph" w:customStyle="1" w:styleId="TableText">
    <w:name w:val="Table Text"/>
    <w:rsid w:val="00271760"/>
    <w:rPr>
      <w:snapToGrid w:val="0"/>
      <w:color w:val="000000"/>
      <w:sz w:val="24"/>
    </w:rPr>
  </w:style>
  <w:style w:type="paragraph" w:customStyle="1" w:styleId="single">
    <w:name w:val="single"/>
    <w:rsid w:val="00271760"/>
    <w:rPr>
      <w:snapToGrid w:val="0"/>
      <w:color w:val="000000"/>
      <w:sz w:val="24"/>
    </w:rPr>
  </w:style>
  <w:style w:type="paragraph" w:styleId="ListBullet">
    <w:name w:val="List Bullet"/>
    <w:basedOn w:val="Normal"/>
    <w:autoRedefine/>
    <w:uiPriority w:val="2"/>
    <w:semiHidden/>
    <w:rsid w:val="00271760"/>
    <w:pPr>
      <w:numPr>
        <w:numId w:val="3"/>
      </w:numPr>
      <w:jc w:val="left"/>
    </w:pPr>
    <w:rPr>
      <w:rFonts w:ascii="Times New Roman" w:hAnsi="Times New Roman"/>
      <w:sz w:val="18"/>
      <w:szCs w:val="20"/>
    </w:rPr>
  </w:style>
  <w:style w:type="paragraph" w:styleId="ListBullet2">
    <w:name w:val="List Bullet 2"/>
    <w:basedOn w:val="Normal"/>
    <w:autoRedefine/>
    <w:uiPriority w:val="2"/>
    <w:semiHidden/>
    <w:rsid w:val="00271760"/>
    <w:pPr>
      <w:numPr>
        <w:numId w:val="4"/>
      </w:numPr>
      <w:jc w:val="left"/>
    </w:pPr>
    <w:rPr>
      <w:rFonts w:ascii="Times New Roman" w:hAnsi="Times New Roman"/>
      <w:sz w:val="18"/>
      <w:szCs w:val="20"/>
    </w:rPr>
  </w:style>
  <w:style w:type="paragraph" w:styleId="ListBullet3">
    <w:name w:val="List Bullet 3"/>
    <w:basedOn w:val="Normal"/>
    <w:autoRedefine/>
    <w:uiPriority w:val="2"/>
    <w:semiHidden/>
    <w:rsid w:val="00271760"/>
    <w:pPr>
      <w:numPr>
        <w:numId w:val="5"/>
      </w:numPr>
      <w:jc w:val="left"/>
    </w:pPr>
    <w:rPr>
      <w:rFonts w:ascii="Times New Roman" w:hAnsi="Times New Roman"/>
      <w:sz w:val="18"/>
      <w:szCs w:val="20"/>
    </w:rPr>
  </w:style>
  <w:style w:type="paragraph" w:styleId="ListBullet4">
    <w:name w:val="List Bullet 4"/>
    <w:basedOn w:val="Normal"/>
    <w:autoRedefine/>
    <w:uiPriority w:val="2"/>
    <w:semiHidden/>
    <w:rsid w:val="00271760"/>
    <w:pPr>
      <w:numPr>
        <w:numId w:val="6"/>
      </w:numPr>
      <w:jc w:val="left"/>
    </w:pPr>
    <w:rPr>
      <w:rFonts w:ascii="Times New Roman" w:hAnsi="Times New Roman"/>
      <w:sz w:val="18"/>
      <w:szCs w:val="20"/>
    </w:rPr>
  </w:style>
  <w:style w:type="paragraph" w:styleId="ListBullet5">
    <w:name w:val="List Bullet 5"/>
    <w:basedOn w:val="Normal"/>
    <w:autoRedefine/>
    <w:uiPriority w:val="2"/>
    <w:semiHidden/>
    <w:rsid w:val="00271760"/>
    <w:pPr>
      <w:numPr>
        <w:numId w:val="7"/>
      </w:numPr>
      <w:jc w:val="left"/>
    </w:pPr>
    <w:rPr>
      <w:rFonts w:ascii="Times New Roman" w:hAnsi="Times New Roman"/>
      <w:sz w:val="18"/>
      <w:szCs w:val="20"/>
    </w:rPr>
  </w:style>
  <w:style w:type="paragraph" w:styleId="ListNumber">
    <w:name w:val="List Number"/>
    <w:basedOn w:val="Normal"/>
    <w:uiPriority w:val="2"/>
    <w:semiHidden/>
    <w:rsid w:val="00271760"/>
    <w:pPr>
      <w:numPr>
        <w:numId w:val="8"/>
      </w:numPr>
      <w:jc w:val="left"/>
    </w:pPr>
    <w:rPr>
      <w:rFonts w:ascii="Times New Roman" w:hAnsi="Times New Roman"/>
      <w:sz w:val="18"/>
      <w:szCs w:val="20"/>
    </w:rPr>
  </w:style>
  <w:style w:type="paragraph" w:styleId="ListNumber2">
    <w:name w:val="List Number 2"/>
    <w:basedOn w:val="Normal"/>
    <w:uiPriority w:val="2"/>
    <w:semiHidden/>
    <w:rsid w:val="00271760"/>
    <w:pPr>
      <w:numPr>
        <w:numId w:val="9"/>
      </w:numPr>
      <w:jc w:val="left"/>
    </w:pPr>
    <w:rPr>
      <w:rFonts w:ascii="Times New Roman" w:hAnsi="Times New Roman"/>
      <w:sz w:val="18"/>
      <w:szCs w:val="20"/>
    </w:rPr>
  </w:style>
  <w:style w:type="paragraph" w:styleId="ListNumber3">
    <w:name w:val="List Number 3"/>
    <w:basedOn w:val="Normal"/>
    <w:uiPriority w:val="2"/>
    <w:semiHidden/>
    <w:rsid w:val="00271760"/>
    <w:pPr>
      <w:numPr>
        <w:numId w:val="10"/>
      </w:numPr>
      <w:jc w:val="left"/>
    </w:pPr>
    <w:rPr>
      <w:rFonts w:ascii="Times New Roman" w:hAnsi="Times New Roman"/>
      <w:sz w:val="18"/>
      <w:szCs w:val="20"/>
    </w:rPr>
  </w:style>
  <w:style w:type="paragraph" w:styleId="ListNumber4">
    <w:name w:val="List Number 4"/>
    <w:basedOn w:val="Normal"/>
    <w:uiPriority w:val="2"/>
    <w:semiHidden/>
    <w:rsid w:val="00271760"/>
    <w:pPr>
      <w:numPr>
        <w:numId w:val="11"/>
      </w:numPr>
      <w:jc w:val="left"/>
    </w:pPr>
    <w:rPr>
      <w:rFonts w:ascii="Times New Roman" w:hAnsi="Times New Roman"/>
      <w:sz w:val="18"/>
      <w:szCs w:val="20"/>
    </w:rPr>
  </w:style>
  <w:style w:type="paragraph" w:styleId="ListNumber5">
    <w:name w:val="List Number 5"/>
    <w:basedOn w:val="Normal"/>
    <w:uiPriority w:val="2"/>
    <w:semiHidden/>
    <w:rsid w:val="00271760"/>
    <w:pPr>
      <w:numPr>
        <w:numId w:val="12"/>
      </w:numPr>
      <w:jc w:val="left"/>
    </w:pPr>
    <w:rPr>
      <w:rFonts w:ascii="Times New Roman" w:hAnsi="Times New Roman"/>
      <w:sz w:val="18"/>
      <w:szCs w:val="20"/>
    </w:rPr>
  </w:style>
  <w:style w:type="paragraph" w:customStyle="1" w:styleId="SectionHeader32">
    <w:name w:val="Section Header32"/>
    <w:autoRedefine/>
    <w:rsid w:val="00271760"/>
    <w:pPr>
      <w:jc w:val="center"/>
    </w:pPr>
    <w:rPr>
      <w:b/>
      <w:caps/>
      <w:noProof/>
      <w:sz w:val="22"/>
    </w:rPr>
  </w:style>
  <w:style w:type="paragraph" w:customStyle="1" w:styleId="TableText3">
    <w:name w:val="Table Text3"/>
    <w:rsid w:val="00271760"/>
    <w:rPr>
      <w:snapToGrid w:val="0"/>
      <w:color w:val="000000"/>
      <w:sz w:val="24"/>
    </w:rPr>
  </w:style>
  <w:style w:type="paragraph" w:styleId="BlockText">
    <w:name w:val="Block Text"/>
    <w:basedOn w:val="Normal"/>
    <w:uiPriority w:val="2"/>
    <w:semiHidden/>
    <w:rsid w:val="00271760"/>
    <w:pPr>
      <w:spacing w:after="120"/>
      <w:ind w:left="1440" w:right="1440"/>
      <w:jc w:val="left"/>
    </w:pPr>
    <w:rPr>
      <w:rFonts w:ascii="Times New Roman" w:hAnsi="Times New Roman"/>
      <w:sz w:val="18"/>
      <w:szCs w:val="20"/>
    </w:rPr>
  </w:style>
  <w:style w:type="character" w:customStyle="1" w:styleId="BodyTextFirstIndentChar">
    <w:name w:val="Body Text First Indent Char"/>
    <w:basedOn w:val="BodyTextChar"/>
    <w:link w:val="BodyTextFirstIndent"/>
    <w:uiPriority w:val="2"/>
    <w:semiHidden/>
    <w:rsid w:val="00D42E80"/>
    <w:rPr>
      <w:snapToGrid w:val="0"/>
      <w:color w:val="000000"/>
      <w:sz w:val="18"/>
    </w:rPr>
  </w:style>
  <w:style w:type="paragraph" w:styleId="BodyTextFirstIndent">
    <w:name w:val="Body Text First Indent"/>
    <w:basedOn w:val="BodyText"/>
    <w:link w:val="BodyTextFirstIndentChar"/>
    <w:uiPriority w:val="2"/>
    <w:semiHidden/>
    <w:rsid w:val="00271760"/>
    <w:pPr>
      <w:widowControl/>
      <w:tabs>
        <w:tab w:val="clear" w:pos="720"/>
        <w:tab w:val="clear" w:pos="1440"/>
        <w:tab w:val="clear" w:pos="2160"/>
        <w:tab w:val="clear" w:pos="2880"/>
        <w:tab w:val="clear" w:pos="3600"/>
        <w:tab w:val="clear" w:pos="4320"/>
        <w:tab w:val="clear" w:pos="5040"/>
        <w:tab w:val="clear" w:pos="5760"/>
        <w:tab w:val="clear" w:pos="6480"/>
      </w:tabs>
      <w:spacing w:after="120"/>
      <w:ind w:firstLine="210"/>
      <w:jc w:val="left"/>
    </w:pPr>
    <w:rPr>
      <w:rFonts w:ascii="Times New Roman" w:hAnsi="Times New Roman"/>
    </w:rPr>
  </w:style>
  <w:style w:type="character" w:customStyle="1" w:styleId="BodyTextChar1">
    <w:name w:val="Body Text Char1"/>
    <w:basedOn w:val="DefaultParagraphFont"/>
    <w:link w:val="BodyText"/>
    <w:uiPriority w:val="2"/>
    <w:rsid w:val="00D42E80"/>
    <w:rPr>
      <w:rFonts w:ascii="Arial" w:hAnsi="Arial"/>
      <w:snapToGrid w:val="0"/>
      <w:color w:val="000000"/>
      <w:sz w:val="18"/>
    </w:rPr>
  </w:style>
  <w:style w:type="character" w:customStyle="1" w:styleId="BodyTextFirstIndentChar1">
    <w:name w:val="Body Text First Indent Char1"/>
    <w:basedOn w:val="BodyTextChar1"/>
    <w:uiPriority w:val="99"/>
    <w:semiHidden/>
    <w:rsid w:val="00271760"/>
    <w:rPr>
      <w:rFonts w:ascii="Arial" w:hAnsi="Arial"/>
      <w:snapToGrid/>
      <w:color w:val="000000"/>
      <w:sz w:val="22"/>
      <w:szCs w:val="24"/>
    </w:rPr>
  </w:style>
  <w:style w:type="character" w:customStyle="1" w:styleId="BodyTextFirstIndent2Char">
    <w:name w:val="Body Text First Indent 2 Char"/>
    <w:basedOn w:val="BodyTextIndentChar"/>
    <w:link w:val="BodyTextFirstIndent2"/>
    <w:uiPriority w:val="2"/>
    <w:semiHidden/>
    <w:rsid w:val="00D42E80"/>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271760"/>
    <w:pPr>
      <w:ind w:firstLine="210"/>
      <w:jc w:val="left"/>
    </w:pPr>
    <w:rPr>
      <w:rFonts w:ascii="Times New Roman" w:hAnsi="Times New Roman"/>
      <w:color w:val="000000"/>
      <w:sz w:val="18"/>
      <w:szCs w:val="20"/>
    </w:rPr>
  </w:style>
  <w:style w:type="character" w:customStyle="1" w:styleId="BodyTextFirstIndent2Char1">
    <w:name w:val="Body Text First Indent 2 Char1"/>
    <w:basedOn w:val="BodyTextIndentChar"/>
    <w:uiPriority w:val="99"/>
    <w:semiHidden/>
    <w:rsid w:val="00271760"/>
    <w:rPr>
      <w:rFonts w:ascii="Arial" w:hAnsi="Arial"/>
      <w:sz w:val="22"/>
      <w:szCs w:val="24"/>
    </w:rPr>
  </w:style>
  <w:style w:type="paragraph" w:styleId="Caption">
    <w:name w:val="caption"/>
    <w:basedOn w:val="Normal"/>
    <w:next w:val="Normal"/>
    <w:uiPriority w:val="2"/>
    <w:qFormat/>
    <w:rsid w:val="00271760"/>
    <w:pPr>
      <w:spacing w:before="120" w:after="120"/>
      <w:jc w:val="left"/>
    </w:pPr>
    <w:rPr>
      <w:rFonts w:ascii="Times New Roman" w:hAnsi="Times New Roman"/>
      <w:b/>
      <w:bCs/>
      <w:sz w:val="20"/>
      <w:szCs w:val="20"/>
    </w:rPr>
  </w:style>
  <w:style w:type="character" w:customStyle="1" w:styleId="ClosingChar">
    <w:name w:val="Closing Char"/>
    <w:basedOn w:val="DefaultParagraphFont"/>
    <w:link w:val="Closing"/>
    <w:uiPriority w:val="2"/>
    <w:semiHidden/>
    <w:rsid w:val="00D42E80"/>
    <w:rPr>
      <w:sz w:val="18"/>
    </w:rPr>
  </w:style>
  <w:style w:type="paragraph" w:styleId="Closing">
    <w:name w:val="Closing"/>
    <w:basedOn w:val="Normal"/>
    <w:link w:val="ClosingChar"/>
    <w:uiPriority w:val="2"/>
    <w:semiHidden/>
    <w:rsid w:val="00271760"/>
    <w:pPr>
      <w:ind w:left="4320"/>
      <w:jc w:val="left"/>
    </w:pPr>
    <w:rPr>
      <w:rFonts w:ascii="Times New Roman" w:hAnsi="Times New Roman"/>
      <w:sz w:val="18"/>
      <w:szCs w:val="20"/>
    </w:rPr>
  </w:style>
  <w:style w:type="character" w:customStyle="1" w:styleId="ClosingChar1">
    <w:name w:val="Closing Char1"/>
    <w:basedOn w:val="DefaultParagraphFont"/>
    <w:uiPriority w:val="99"/>
    <w:semiHidden/>
    <w:rsid w:val="00271760"/>
    <w:rPr>
      <w:rFonts w:ascii="Arial" w:hAnsi="Arial"/>
      <w:sz w:val="22"/>
      <w:szCs w:val="24"/>
    </w:rPr>
  </w:style>
  <w:style w:type="character" w:customStyle="1" w:styleId="DateChar">
    <w:name w:val="Date Char"/>
    <w:basedOn w:val="DefaultParagraphFont"/>
    <w:link w:val="Date"/>
    <w:uiPriority w:val="2"/>
    <w:semiHidden/>
    <w:rsid w:val="00D42E80"/>
    <w:rPr>
      <w:sz w:val="18"/>
    </w:rPr>
  </w:style>
  <w:style w:type="paragraph" w:styleId="Date">
    <w:name w:val="Date"/>
    <w:basedOn w:val="Normal"/>
    <w:next w:val="Normal"/>
    <w:link w:val="DateChar"/>
    <w:uiPriority w:val="2"/>
    <w:semiHidden/>
    <w:rsid w:val="00271760"/>
    <w:pPr>
      <w:jc w:val="left"/>
    </w:pPr>
    <w:rPr>
      <w:rFonts w:ascii="Times New Roman" w:hAnsi="Times New Roman"/>
      <w:sz w:val="18"/>
      <w:szCs w:val="20"/>
    </w:rPr>
  </w:style>
  <w:style w:type="character" w:customStyle="1" w:styleId="DateChar1">
    <w:name w:val="Date Char1"/>
    <w:basedOn w:val="DefaultParagraphFont"/>
    <w:uiPriority w:val="99"/>
    <w:semiHidden/>
    <w:rsid w:val="00271760"/>
    <w:rPr>
      <w:rFonts w:ascii="Arial" w:hAnsi="Arial"/>
      <w:sz w:val="22"/>
      <w:szCs w:val="24"/>
    </w:rPr>
  </w:style>
  <w:style w:type="character" w:customStyle="1" w:styleId="DocumentMapChar">
    <w:name w:val="Document Map Char"/>
    <w:basedOn w:val="DefaultParagraphFont"/>
    <w:link w:val="DocumentMap"/>
    <w:uiPriority w:val="2"/>
    <w:semiHidden/>
    <w:rsid w:val="00D42E80"/>
    <w:rPr>
      <w:rFonts w:ascii="Tahoma" w:hAnsi="Tahoma" w:cs="Tahoma"/>
      <w:sz w:val="18"/>
      <w:shd w:val="clear" w:color="auto" w:fill="000080"/>
    </w:rPr>
  </w:style>
  <w:style w:type="paragraph" w:styleId="DocumentMap">
    <w:name w:val="Document Map"/>
    <w:basedOn w:val="Normal"/>
    <w:link w:val="DocumentMapChar"/>
    <w:uiPriority w:val="2"/>
    <w:semiHidden/>
    <w:rsid w:val="00271760"/>
    <w:pPr>
      <w:shd w:val="clear" w:color="auto" w:fill="000080"/>
      <w:jc w:val="left"/>
    </w:pPr>
    <w:rPr>
      <w:rFonts w:ascii="Tahoma" w:hAnsi="Tahoma" w:cs="Tahoma"/>
      <w:sz w:val="18"/>
      <w:szCs w:val="20"/>
    </w:rPr>
  </w:style>
  <w:style w:type="character" w:customStyle="1" w:styleId="DocumentMapChar1">
    <w:name w:val="Document Map Char1"/>
    <w:basedOn w:val="DefaultParagraphFont"/>
    <w:uiPriority w:val="99"/>
    <w:semiHidden/>
    <w:rsid w:val="00271760"/>
    <w:rPr>
      <w:rFonts w:ascii="Segoe UI" w:hAnsi="Segoe UI" w:cs="Segoe UI"/>
      <w:sz w:val="16"/>
      <w:szCs w:val="16"/>
    </w:rPr>
  </w:style>
  <w:style w:type="character" w:customStyle="1" w:styleId="E-mailSignatureChar">
    <w:name w:val="E-mail Signature Char"/>
    <w:basedOn w:val="DefaultParagraphFont"/>
    <w:link w:val="E-mailSignature"/>
    <w:uiPriority w:val="2"/>
    <w:semiHidden/>
    <w:rsid w:val="00D42E80"/>
    <w:rPr>
      <w:sz w:val="18"/>
    </w:rPr>
  </w:style>
  <w:style w:type="paragraph" w:styleId="E-mailSignature">
    <w:name w:val="E-mail Signature"/>
    <w:basedOn w:val="Normal"/>
    <w:link w:val="E-mailSignatureChar"/>
    <w:uiPriority w:val="2"/>
    <w:semiHidden/>
    <w:rsid w:val="00271760"/>
    <w:pPr>
      <w:jc w:val="left"/>
    </w:pPr>
    <w:rPr>
      <w:rFonts w:ascii="Times New Roman" w:hAnsi="Times New Roman"/>
      <w:sz w:val="18"/>
      <w:szCs w:val="20"/>
    </w:rPr>
  </w:style>
  <w:style w:type="character" w:customStyle="1" w:styleId="E-mailSignatureChar1">
    <w:name w:val="E-mail Signature Char1"/>
    <w:basedOn w:val="DefaultParagraphFont"/>
    <w:uiPriority w:val="99"/>
    <w:semiHidden/>
    <w:rsid w:val="00271760"/>
    <w:rPr>
      <w:rFonts w:ascii="Arial" w:hAnsi="Arial"/>
      <w:sz w:val="22"/>
      <w:szCs w:val="24"/>
    </w:rPr>
  </w:style>
  <w:style w:type="character" w:customStyle="1" w:styleId="EndnoteTextChar">
    <w:name w:val="Endnote Text Char"/>
    <w:basedOn w:val="DefaultParagraphFont"/>
    <w:link w:val="EndnoteText"/>
    <w:uiPriority w:val="2"/>
    <w:semiHidden/>
    <w:rsid w:val="00D42E80"/>
  </w:style>
  <w:style w:type="paragraph" w:styleId="EndnoteText">
    <w:name w:val="endnote text"/>
    <w:basedOn w:val="Normal"/>
    <w:link w:val="EndnoteTextChar"/>
    <w:uiPriority w:val="2"/>
    <w:semiHidden/>
    <w:rsid w:val="00271760"/>
    <w:pPr>
      <w:jc w:val="left"/>
    </w:pPr>
    <w:rPr>
      <w:rFonts w:ascii="Times New Roman" w:hAnsi="Times New Roman"/>
      <w:sz w:val="20"/>
      <w:szCs w:val="20"/>
    </w:rPr>
  </w:style>
  <w:style w:type="character" w:customStyle="1" w:styleId="EndnoteTextChar1">
    <w:name w:val="Endnote Text Char1"/>
    <w:basedOn w:val="DefaultParagraphFont"/>
    <w:uiPriority w:val="99"/>
    <w:semiHidden/>
    <w:rsid w:val="00271760"/>
    <w:rPr>
      <w:rFonts w:ascii="Arial" w:hAnsi="Arial"/>
    </w:rPr>
  </w:style>
  <w:style w:type="character" w:customStyle="1" w:styleId="FootnoteTextChar">
    <w:name w:val="Footnote Text Char"/>
    <w:basedOn w:val="DefaultParagraphFont"/>
    <w:link w:val="FootnoteText"/>
    <w:uiPriority w:val="2"/>
    <w:semiHidden/>
    <w:rsid w:val="00D42E80"/>
  </w:style>
  <w:style w:type="paragraph" w:styleId="FootnoteText">
    <w:name w:val="footnote text"/>
    <w:basedOn w:val="Normal"/>
    <w:link w:val="FootnoteTextChar"/>
    <w:uiPriority w:val="2"/>
    <w:semiHidden/>
    <w:rsid w:val="00271760"/>
    <w:pPr>
      <w:jc w:val="left"/>
    </w:pPr>
    <w:rPr>
      <w:rFonts w:ascii="Times New Roman" w:hAnsi="Times New Roman"/>
      <w:sz w:val="20"/>
      <w:szCs w:val="20"/>
    </w:rPr>
  </w:style>
  <w:style w:type="character" w:customStyle="1" w:styleId="FootnoteTextChar1">
    <w:name w:val="Footnote Text Char1"/>
    <w:basedOn w:val="DefaultParagraphFont"/>
    <w:uiPriority w:val="99"/>
    <w:semiHidden/>
    <w:rsid w:val="00271760"/>
    <w:rPr>
      <w:rFonts w:ascii="Arial" w:hAnsi="Arial"/>
    </w:rPr>
  </w:style>
  <w:style w:type="character" w:customStyle="1" w:styleId="HTMLAddressChar">
    <w:name w:val="HTML Address Char"/>
    <w:basedOn w:val="DefaultParagraphFont"/>
    <w:link w:val="HTMLAddress"/>
    <w:uiPriority w:val="2"/>
    <w:semiHidden/>
    <w:rsid w:val="00D42E80"/>
    <w:rPr>
      <w:i/>
      <w:iCs/>
      <w:sz w:val="18"/>
    </w:rPr>
  </w:style>
  <w:style w:type="paragraph" w:styleId="HTMLAddress">
    <w:name w:val="HTML Address"/>
    <w:basedOn w:val="Normal"/>
    <w:link w:val="HTMLAddressChar"/>
    <w:uiPriority w:val="2"/>
    <w:semiHidden/>
    <w:rsid w:val="00271760"/>
    <w:pPr>
      <w:jc w:val="left"/>
    </w:pPr>
    <w:rPr>
      <w:rFonts w:ascii="Times New Roman" w:hAnsi="Times New Roman"/>
      <w:i/>
      <w:iCs/>
      <w:sz w:val="18"/>
      <w:szCs w:val="20"/>
    </w:rPr>
  </w:style>
  <w:style w:type="character" w:customStyle="1" w:styleId="HTMLAddressChar1">
    <w:name w:val="HTML Address Char1"/>
    <w:basedOn w:val="DefaultParagraphFont"/>
    <w:uiPriority w:val="99"/>
    <w:semiHidden/>
    <w:rsid w:val="00271760"/>
    <w:rPr>
      <w:rFonts w:ascii="Arial" w:hAnsi="Arial"/>
      <w:i/>
      <w:iCs/>
      <w:sz w:val="22"/>
      <w:szCs w:val="24"/>
    </w:rPr>
  </w:style>
  <w:style w:type="character" w:customStyle="1" w:styleId="HTMLPreformattedChar">
    <w:name w:val="HTML Preformatted Char"/>
    <w:basedOn w:val="DefaultParagraphFont"/>
    <w:link w:val="HTMLPreformatted"/>
    <w:uiPriority w:val="2"/>
    <w:semiHidden/>
    <w:rsid w:val="00D42E80"/>
    <w:rPr>
      <w:rFonts w:ascii="Courier New" w:hAnsi="Courier New" w:cs="Courier New"/>
    </w:rPr>
  </w:style>
  <w:style w:type="paragraph" w:styleId="HTMLPreformatted">
    <w:name w:val="HTML Preformatted"/>
    <w:basedOn w:val="Normal"/>
    <w:link w:val="HTMLPreformattedChar"/>
    <w:uiPriority w:val="2"/>
    <w:semiHidden/>
    <w:rsid w:val="00271760"/>
    <w:pPr>
      <w:jc w:val="left"/>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271760"/>
    <w:rPr>
      <w:rFonts w:ascii="Consolas" w:hAnsi="Consolas"/>
    </w:rPr>
  </w:style>
  <w:style w:type="character" w:customStyle="1" w:styleId="MacroTextChar">
    <w:name w:val="Macro Text Char"/>
    <w:basedOn w:val="DefaultParagraphFont"/>
    <w:link w:val="MacroText"/>
    <w:uiPriority w:val="2"/>
    <w:semiHidden/>
    <w:rsid w:val="00D42E80"/>
    <w:rPr>
      <w:rFonts w:ascii="Courier New" w:hAnsi="Courier New" w:cs="Courier New"/>
    </w:rPr>
  </w:style>
  <w:style w:type="paragraph" w:styleId="MacroText">
    <w:name w:val="macro"/>
    <w:link w:val="MacroTextChar"/>
    <w:uiPriority w:val="2"/>
    <w:semiHidden/>
    <w:rsid w:val="00271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271760"/>
    <w:rPr>
      <w:rFonts w:ascii="Consolas" w:hAnsi="Consolas"/>
    </w:rPr>
  </w:style>
  <w:style w:type="character" w:customStyle="1" w:styleId="MessageHeaderChar">
    <w:name w:val="Message Header Char"/>
    <w:basedOn w:val="DefaultParagraphFont"/>
    <w:link w:val="MessageHeader"/>
    <w:uiPriority w:val="2"/>
    <w:semiHidden/>
    <w:rsid w:val="00D42E80"/>
    <w:rPr>
      <w:rFonts w:ascii="Arial" w:hAnsi="Arial" w:cs="Arial"/>
      <w:sz w:val="24"/>
      <w:szCs w:val="24"/>
      <w:shd w:val="pct20" w:color="auto" w:fill="auto"/>
    </w:rPr>
  </w:style>
  <w:style w:type="paragraph" w:styleId="MessageHeader">
    <w:name w:val="Message Header"/>
    <w:basedOn w:val="Normal"/>
    <w:link w:val="MessageHeaderChar"/>
    <w:uiPriority w:val="2"/>
    <w:semiHidden/>
    <w:rsid w:val="00271760"/>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basedOn w:val="DefaultParagraphFont"/>
    <w:uiPriority w:val="99"/>
    <w:semiHidden/>
    <w:rsid w:val="00271760"/>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271760"/>
    <w:rPr>
      <w:sz w:val="18"/>
    </w:rPr>
  </w:style>
  <w:style w:type="paragraph" w:styleId="NoteHeading">
    <w:name w:val="Note Heading"/>
    <w:basedOn w:val="Normal"/>
    <w:next w:val="Normal"/>
    <w:link w:val="NoteHeadingChar"/>
    <w:semiHidden/>
    <w:rsid w:val="00271760"/>
    <w:pPr>
      <w:jc w:val="left"/>
    </w:pPr>
    <w:rPr>
      <w:rFonts w:ascii="Times New Roman" w:hAnsi="Times New Roman"/>
      <w:sz w:val="18"/>
      <w:szCs w:val="20"/>
    </w:rPr>
  </w:style>
  <w:style w:type="character" w:customStyle="1" w:styleId="NoteHeadingChar1">
    <w:name w:val="Note Heading Char1"/>
    <w:basedOn w:val="DefaultParagraphFont"/>
    <w:uiPriority w:val="99"/>
    <w:semiHidden/>
    <w:rsid w:val="00271760"/>
    <w:rPr>
      <w:rFonts w:ascii="Arial" w:hAnsi="Arial"/>
      <w:sz w:val="22"/>
      <w:szCs w:val="24"/>
    </w:rPr>
  </w:style>
  <w:style w:type="character" w:customStyle="1" w:styleId="PlainTextChar">
    <w:name w:val="Plain Text Char"/>
    <w:basedOn w:val="DefaultParagraphFont"/>
    <w:link w:val="PlainText"/>
    <w:semiHidden/>
    <w:rsid w:val="00271760"/>
    <w:rPr>
      <w:rFonts w:ascii="Courier New" w:hAnsi="Courier New" w:cs="Courier New"/>
    </w:rPr>
  </w:style>
  <w:style w:type="paragraph" w:styleId="PlainText">
    <w:name w:val="Plain Text"/>
    <w:basedOn w:val="Normal"/>
    <w:link w:val="PlainTextChar"/>
    <w:semiHidden/>
    <w:rsid w:val="00271760"/>
    <w:pPr>
      <w:jc w:val="left"/>
    </w:pPr>
    <w:rPr>
      <w:rFonts w:ascii="Courier New" w:hAnsi="Courier New" w:cs="Courier New"/>
      <w:sz w:val="20"/>
      <w:szCs w:val="20"/>
    </w:rPr>
  </w:style>
  <w:style w:type="character" w:customStyle="1" w:styleId="PlainTextChar1">
    <w:name w:val="Plain Text Char1"/>
    <w:basedOn w:val="DefaultParagraphFont"/>
    <w:uiPriority w:val="99"/>
    <w:semiHidden/>
    <w:rsid w:val="00271760"/>
    <w:rPr>
      <w:rFonts w:ascii="Consolas" w:hAnsi="Consolas"/>
      <w:sz w:val="21"/>
      <w:szCs w:val="21"/>
    </w:rPr>
  </w:style>
  <w:style w:type="character" w:customStyle="1" w:styleId="SalutationChar">
    <w:name w:val="Salutation Char"/>
    <w:basedOn w:val="DefaultParagraphFont"/>
    <w:link w:val="Salutation"/>
    <w:semiHidden/>
    <w:rsid w:val="00271760"/>
    <w:rPr>
      <w:sz w:val="18"/>
    </w:rPr>
  </w:style>
  <w:style w:type="paragraph" w:styleId="Salutation">
    <w:name w:val="Salutation"/>
    <w:basedOn w:val="Normal"/>
    <w:next w:val="Normal"/>
    <w:link w:val="SalutationChar"/>
    <w:semiHidden/>
    <w:rsid w:val="00271760"/>
    <w:pPr>
      <w:jc w:val="left"/>
    </w:pPr>
    <w:rPr>
      <w:rFonts w:ascii="Times New Roman" w:hAnsi="Times New Roman"/>
      <w:sz w:val="18"/>
      <w:szCs w:val="20"/>
    </w:rPr>
  </w:style>
  <w:style w:type="character" w:customStyle="1" w:styleId="SalutationChar1">
    <w:name w:val="Salutation Char1"/>
    <w:basedOn w:val="DefaultParagraphFont"/>
    <w:uiPriority w:val="99"/>
    <w:semiHidden/>
    <w:rsid w:val="00271760"/>
    <w:rPr>
      <w:rFonts w:ascii="Arial" w:hAnsi="Arial"/>
      <w:sz w:val="22"/>
      <w:szCs w:val="24"/>
    </w:rPr>
  </w:style>
  <w:style w:type="character" w:customStyle="1" w:styleId="SignatureChar">
    <w:name w:val="Signature Char"/>
    <w:basedOn w:val="DefaultParagraphFont"/>
    <w:link w:val="Signature"/>
    <w:semiHidden/>
    <w:rsid w:val="00271760"/>
    <w:rPr>
      <w:sz w:val="18"/>
    </w:rPr>
  </w:style>
  <w:style w:type="paragraph" w:styleId="Signature">
    <w:name w:val="Signature"/>
    <w:basedOn w:val="Normal"/>
    <w:link w:val="SignatureChar"/>
    <w:semiHidden/>
    <w:rsid w:val="00271760"/>
    <w:pPr>
      <w:ind w:left="4320"/>
      <w:jc w:val="left"/>
    </w:pPr>
    <w:rPr>
      <w:rFonts w:ascii="Times New Roman" w:hAnsi="Times New Roman"/>
      <w:sz w:val="18"/>
      <w:szCs w:val="20"/>
    </w:rPr>
  </w:style>
  <w:style w:type="character" w:customStyle="1" w:styleId="SignatureChar1">
    <w:name w:val="Signature Char1"/>
    <w:basedOn w:val="DefaultParagraphFont"/>
    <w:uiPriority w:val="99"/>
    <w:semiHidden/>
    <w:rsid w:val="00271760"/>
    <w:rPr>
      <w:rFonts w:ascii="Arial" w:hAnsi="Arial"/>
      <w:sz w:val="22"/>
      <w:szCs w:val="24"/>
    </w:rPr>
  </w:style>
  <w:style w:type="paragraph" w:styleId="Subtitle">
    <w:name w:val="Subtitle"/>
    <w:basedOn w:val="Normal"/>
    <w:link w:val="SubtitleChar"/>
    <w:qFormat/>
    <w:rsid w:val="00271760"/>
    <w:pPr>
      <w:spacing w:after="60"/>
      <w:jc w:val="center"/>
      <w:outlineLvl w:val="1"/>
    </w:pPr>
    <w:rPr>
      <w:rFonts w:cs="Arial"/>
      <w:sz w:val="24"/>
    </w:rPr>
  </w:style>
  <w:style w:type="character" w:customStyle="1" w:styleId="SubtitleChar">
    <w:name w:val="Subtitle Char"/>
    <w:basedOn w:val="DefaultParagraphFont"/>
    <w:link w:val="Subtitle"/>
    <w:rsid w:val="00271760"/>
    <w:rPr>
      <w:rFonts w:ascii="Arial" w:hAnsi="Arial" w:cs="Arial"/>
      <w:sz w:val="24"/>
      <w:szCs w:val="24"/>
    </w:rPr>
  </w:style>
  <w:style w:type="paragraph" w:styleId="Title">
    <w:name w:val="Title"/>
    <w:basedOn w:val="Normal"/>
    <w:link w:val="TitleChar"/>
    <w:qFormat/>
    <w:rsid w:val="0027176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71760"/>
    <w:rPr>
      <w:rFonts w:ascii="Arial" w:hAnsi="Arial" w:cs="Arial"/>
      <w:b/>
      <w:bCs/>
      <w:kern w:val="28"/>
      <w:sz w:val="32"/>
      <w:szCs w:val="32"/>
    </w:rPr>
  </w:style>
  <w:style w:type="paragraph" w:customStyle="1" w:styleId="Subdirectory">
    <w:name w:val="Subdirectory"/>
    <w:basedOn w:val="Normal"/>
    <w:rsid w:val="0027176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271760"/>
    <w:pPr>
      <w:jc w:val="both"/>
      <w:outlineLvl w:val="0"/>
    </w:pPr>
    <w:rPr>
      <w:bCs/>
      <w:i/>
      <w:noProof/>
      <w:sz w:val="22"/>
    </w:rPr>
  </w:style>
  <w:style w:type="paragraph" w:customStyle="1" w:styleId="TableText5">
    <w:name w:val="Table Text5"/>
    <w:rsid w:val="00271760"/>
    <w:pPr>
      <w:jc w:val="both"/>
    </w:pPr>
    <w:rPr>
      <w:rFonts w:ascii="Arial" w:hAnsi="Arial"/>
      <w:snapToGrid w:val="0"/>
      <w:color w:val="000000"/>
      <w:sz w:val="22"/>
    </w:rPr>
  </w:style>
  <w:style w:type="character" w:customStyle="1" w:styleId="DefaultChar">
    <w:name w:val="Default Char"/>
    <w:basedOn w:val="DefaultParagraphFont"/>
    <w:link w:val="Default"/>
    <w:uiPriority w:val="2"/>
    <w:rsid w:val="00D42E80"/>
    <w:rPr>
      <w:color w:val="000000"/>
      <w:sz w:val="24"/>
      <w:szCs w:val="24"/>
    </w:rPr>
  </w:style>
  <w:style w:type="paragraph" w:customStyle="1" w:styleId="TableText6">
    <w:name w:val="Table Text6"/>
    <w:rsid w:val="00271760"/>
    <w:rPr>
      <w:snapToGrid w:val="0"/>
      <w:color w:val="000000"/>
      <w:sz w:val="24"/>
    </w:rPr>
  </w:style>
  <w:style w:type="paragraph" w:customStyle="1" w:styleId="CM16">
    <w:name w:val="CM16"/>
    <w:basedOn w:val="Normal"/>
    <w:next w:val="Normal"/>
    <w:uiPriority w:val="2"/>
    <w:rsid w:val="00271760"/>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271760"/>
    <w:pPr>
      <w:widowControl w:val="0"/>
      <w:spacing w:line="280" w:lineRule="atLeast"/>
    </w:pPr>
    <w:rPr>
      <w:color w:val="auto"/>
    </w:rPr>
  </w:style>
  <w:style w:type="paragraph" w:customStyle="1" w:styleId="SectionHeader65">
    <w:name w:val="Section Header65"/>
    <w:autoRedefine/>
    <w:rsid w:val="00271760"/>
    <w:pPr>
      <w:jc w:val="center"/>
    </w:pPr>
    <w:rPr>
      <w:b/>
      <w:caps/>
      <w:noProof/>
      <w:sz w:val="22"/>
    </w:rPr>
  </w:style>
  <w:style w:type="paragraph" w:customStyle="1" w:styleId="SectionHeader66">
    <w:name w:val="Section Header66"/>
    <w:autoRedefine/>
    <w:rsid w:val="00271760"/>
    <w:pPr>
      <w:jc w:val="center"/>
    </w:pPr>
    <w:rPr>
      <w:b/>
      <w:caps/>
      <w:noProof/>
      <w:sz w:val="22"/>
    </w:rPr>
  </w:style>
  <w:style w:type="paragraph" w:customStyle="1" w:styleId="SectionHeader67">
    <w:name w:val="Section Header67"/>
    <w:autoRedefine/>
    <w:rsid w:val="00271760"/>
    <w:pPr>
      <w:jc w:val="center"/>
    </w:pPr>
    <w:rPr>
      <w:b/>
      <w:caps/>
      <w:noProof/>
      <w:sz w:val="22"/>
    </w:rPr>
  </w:style>
  <w:style w:type="paragraph" w:customStyle="1" w:styleId="Subdirectory18">
    <w:name w:val="Subdirectory18"/>
    <w:basedOn w:val="Normal"/>
    <w:rsid w:val="00271760"/>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271760"/>
    <w:pPr>
      <w:jc w:val="center"/>
      <w:outlineLvl w:val="0"/>
    </w:pPr>
    <w:rPr>
      <w:b/>
      <w:caps/>
      <w:noProof/>
      <w:sz w:val="18"/>
    </w:rPr>
  </w:style>
  <w:style w:type="paragraph" w:customStyle="1" w:styleId="SectionHeader71">
    <w:name w:val="Section Header71"/>
    <w:autoRedefine/>
    <w:rsid w:val="00271760"/>
    <w:pPr>
      <w:jc w:val="both"/>
      <w:outlineLvl w:val="0"/>
    </w:pPr>
    <w:rPr>
      <w:noProof/>
      <w:sz w:val="22"/>
    </w:rPr>
  </w:style>
  <w:style w:type="paragraph" w:customStyle="1" w:styleId="p8">
    <w:name w:val="p8"/>
    <w:basedOn w:val="Normal"/>
    <w:rsid w:val="00271760"/>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271760"/>
    <w:pPr>
      <w:jc w:val="center"/>
    </w:pPr>
    <w:rPr>
      <w:b/>
      <w:caps/>
      <w:noProof/>
      <w:sz w:val="22"/>
    </w:rPr>
  </w:style>
  <w:style w:type="paragraph" w:customStyle="1" w:styleId="SectionHeader95">
    <w:name w:val="Section Header95"/>
    <w:autoRedefine/>
    <w:rsid w:val="00271760"/>
    <w:pPr>
      <w:jc w:val="center"/>
      <w:outlineLvl w:val="0"/>
    </w:pPr>
    <w:rPr>
      <w:b/>
      <w:caps/>
      <w:noProof/>
      <w:sz w:val="18"/>
    </w:rPr>
  </w:style>
  <w:style w:type="paragraph" w:customStyle="1" w:styleId="SectionHeader97">
    <w:name w:val="Section Header97"/>
    <w:autoRedefine/>
    <w:rsid w:val="00271760"/>
    <w:pPr>
      <w:jc w:val="center"/>
    </w:pPr>
    <w:rPr>
      <w:b/>
      <w:caps/>
      <w:noProof/>
      <w:sz w:val="22"/>
    </w:rPr>
  </w:style>
  <w:style w:type="paragraph" w:customStyle="1" w:styleId="SectionHeader98">
    <w:name w:val="Section Header98"/>
    <w:autoRedefine/>
    <w:rsid w:val="00271760"/>
    <w:pPr>
      <w:jc w:val="center"/>
    </w:pPr>
    <w:rPr>
      <w:b/>
      <w:caps/>
      <w:noProof/>
      <w:sz w:val="22"/>
    </w:rPr>
  </w:style>
  <w:style w:type="paragraph" w:customStyle="1" w:styleId="SectionHeader100">
    <w:name w:val="Section Header100"/>
    <w:autoRedefine/>
    <w:rsid w:val="00271760"/>
    <w:pPr>
      <w:jc w:val="center"/>
    </w:pPr>
    <w:rPr>
      <w:b/>
      <w:caps/>
      <w:noProof/>
      <w:sz w:val="22"/>
    </w:rPr>
  </w:style>
  <w:style w:type="paragraph" w:customStyle="1" w:styleId="SectionHeader103">
    <w:name w:val="Section Header103"/>
    <w:autoRedefine/>
    <w:rsid w:val="00271760"/>
    <w:pPr>
      <w:jc w:val="center"/>
    </w:pPr>
    <w:rPr>
      <w:b/>
      <w:caps/>
      <w:noProof/>
      <w:sz w:val="22"/>
    </w:rPr>
  </w:style>
  <w:style w:type="paragraph" w:customStyle="1" w:styleId="SectionHeader105">
    <w:name w:val="Section Header105"/>
    <w:autoRedefine/>
    <w:rsid w:val="00271760"/>
    <w:pPr>
      <w:jc w:val="center"/>
    </w:pPr>
    <w:rPr>
      <w:b/>
      <w:caps/>
      <w:noProof/>
      <w:sz w:val="22"/>
    </w:rPr>
  </w:style>
  <w:style w:type="paragraph" w:customStyle="1" w:styleId="SectionHeader107">
    <w:name w:val="Section Header107"/>
    <w:autoRedefine/>
    <w:rsid w:val="00271760"/>
    <w:pPr>
      <w:jc w:val="center"/>
    </w:pPr>
    <w:rPr>
      <w:b/>
      <w:caps/>
      <w:noProof/>
      <w:sz w:val="22"/>
    </w:rPr>
  </w:style>
  <w:style w:type="paragraph" w:customStyle="1" w:styleId="SectionHeader108">
    <w:name w:val="Section Header108"/>
    <w:autoRedefine/>
    <w:rsid w:val="00271760"/>
    <w:pPr>
      <w:jc w:val="center"/>
    </w:pPr>
    <w:rPr>
      <w:b/>
      <w:caps/>
      <w:noProof/>
      <w:sz w:val="22"/>
    </w:rPr>
  </w:style>
  <w:style w:type="paragraph" w:customStyle="1" w:styleId="SectionHeader109">
    <w:name w:val="Section Header109"/>
    <w:autoRedefine/>
    <w:rsid w:val="00271760"/>
    <w:pPr>
      <w:jc w:val="center"/>
    </w:pPr>
    <w:rPr>
      <w:b/>
      <w:caps/>
      <w:noProof/>
      <w:sz w:val="22"/>
    </w:rPr>
  </w:style>
  <w:style w:type="paragraph" w:customStyle="1" w:styleId="CM13">
    <w:name w:val="CM13"/>
    <w:basedOn w:val="Normal"/>
    <w:next w:val="Normal"/>
    <w:link w:val="CM13Char"/>
    <w:uiPriority w:val="2"/>
    <w:rsid w:val="00271760"/>
    <w:pPr>
      <w:widowControl w:val="0"/>
      <w:autoSpaceDE w:val="0"/>
      <w:autoSpaceDN w:val="0"/>
      <w:adjustRightInd w:val="0"/>
      <w:spacing w:after="295"/>
      <w:jc w:val="left"/>
    </w:pPr>
    <w:rPr>
      <w:rFonts w:ascii="Times New Roman" w:hAnsi="Times New Roman"/>
      <w:sz w:val="24"/>
    </w:rPr>
  </w:style>
  <w:style w:type="character" w:customStyle="1" w:styleId="CM13Char">
    <w:name w:val="CM13 Char"/>
    <w:basedOn w:val="DefaultParagraphFont"/>
    <w:link w:val="CM13"/>
    <w:uiPriority w:val="2"/>
    <w:rsid w:val="00D42E80"/>
    <w:rPr>
      <w:sz w:val="24"/>
      <w:szCs w:val="24"/>
    </w:rPr>
  </w:style>
  <w:style w:type="paragraph" w:customStyle="1" w:styleId="SectionHeader111">
    <w:name w:val="Section Header111"/>
    <w:autoRedefine/>
    <w:rsid w:val="00271760"/>
    <w:pPr>
      <w:jc w:val="center"/>
    </w:pPr>
    <w:rPr>
      <w:b/>
      <w:caps/>
      <w:noProof/>
      <w:sz w:val="22"/>
    </w:rPr>
  </w:style>
  <w:style w:type="paragraph" w:customStyle="1" w:styleId="SectionHeader112">
    <w:name w:val="Section Header112"/>
    <w:autoRedefine/>
    <w:rsid w:val="00271760"/>
    <w:pPr>
      <w:jc w:val="center"/>
    </w:pPr>
    <w:rPr>
      <w:b/>
      <w:caps/>
      <w:noProof/>
      <w:sz w:val="22"/>
    </w:rPr>
  </w:style>
  <w:style w:type="paragraph" w:customStyle="1" w:styleId="SectionHeader113">
    <w:name w:val="Section Header113"/>
    <w:autoRedefine/>
    <w:rsid w:val="00271760"/>
    <w:pPr>
      <w:jc w:val="center"/>
    </w:pPr>
    <w:rPr>
      <w:bCs/>
      <w:noProof/>
      <w:sz w:val="22"/>
    </w:rPr>
  </w:style>
  <w:style w:type="paragraph" w:customStyle="1" w:styleId="SectionHeader114">
    <w:name w:val="Section Header114"/>
    <w:autoRedefine/>
    <w:rsid w:val="00271760"/>
    <w:pPr>
      <w:jc w:val="center"/>
    </w:pPr>
    <w:rPr>
      <w:b/>
      <w:caps/>
      <w:noProof/>
      <w:sz w:val="22"/>
    </w:rPr>
  </w:style>
  <w:style w:type="paragraph" w:customStyle="1" w:styleId="SectionHeader115">
    <w:name w:val="Section Header115"/>
    <w:autoRedefine/>
    <w:rsid w:val="00271760"/>
    <w:pPr>
      <w:jc w:val="center"/>
    </w:pPr>
    <w:rPr>
      <w:b/>
      <w:caps/>
      <w:noProof/>
      <w:sz w:val="22"/>
    </w:rPr>
  </w:style>
  <w:style w:type="paragraph" w:customStyle="1" w:styleId="SectionHeader116">
    <w:name w:val="Section Header116"/>
    <w:autoRedefine/>
    <w:rsid w:val="00271760"/>
    <w:pPr>
      <w:jc w:val="center"/>
    </w:pPr>
    <w:rPr>
      <w:b/>
      <w:caps/>
      <w:noProof/>
      <w:sz w:val="22"/>
    </w:rPr>
  </w:style>
  <w:style w:type="paragraph" w:customStyle="1" w:styleId="SectionHeader117">
    <w:name w:val="Section Header117"/>
    <w:autoRedefine/>
    <w:rsid w:val="00271760"/>
    <w:pPr>
      <w:jc w:val="center"/>
    </w:pPr>
    <w:rPr>
      <w:b/>
      <w:caps/>
      <w:noProof/>
      <w:sz w:val="22"/>
    </w:rPr>
  </w:style>
  <w:style w:type="paragraph" w:customStyle="1" w:styleId="SectionHeader118">
    <w:name w:val="Section Header118"/>
    <w:autoRedefine/>
    <w:rsid w:val="00271760"/>
    <w:pPr>
      <w:jc w:val="center"/>
    </w:pPr>
    <w:rPr>
      <w:noProof/>
      <w:sz w:val="18"/>
    </w:rPr>
  </w:style>
  <w:style w:type="paragraph" w:customStyle="1" w:styleId="SectionHeader162">
    <w:name w:val="Section Header162"/>
    <w:autoRedefine/>
    <w:rsid w:val="00271760"/>
    <w:pPr>
      <w:tabs>
        <w:tab w:val="left" w:pos="1080"/>
        <w:tab w:val="left" w:pos="1440"/>
      </w:tabs>
      <w:jc w:val="both"/>
      <w:outlineLvl w:val="0"/>
    </w:pPr>
    <w:rPr>
      <w:bCs/>
      <w:noProof/>
      <w:snapToGrid w:val="0"/>
      <w:color w:val="000000"/>
      <w:sz w:val="18"/>
    </w:rPr>
  </w:style>
  <w:style w:type="paragraph" w:customStyle="1" w:styleId="TableText9">
    <w:name w:val="Table Text9"/>
    <w:rsid w:val="00271760"/>
    <w:rPr>
      <w:snapToGrid w:val="0"/>
      <w:color w:val="000000"/>
      <w:sz w:val="24"/>
    </w:rPr>
  </w:style>
  <w:style w:type="paragraph" w:styleId="TOCHeading">
    <w:name w:val="TOC Heading"/>
    <w:basedOn w:val="Heading1"/>
    <w:next w:val="Normal"/>
    <w:uiPriority w:val="39"/>
    <w:semiHidden/>
    <w:unhideWhenUsed/>
    <w:qFormat/>
    <w:rsid w:val="00271760"/>
    <w:pPr>
      <w:keepNext/>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3">
    <w:name w:val="toc 3"/>
    <w:basedOn w:val="Normal"/>
    <w:next w:val="Normal"/>
    <w:autoRedefine/>
    <w:uiPriority w:val="39"/>
    <w:unhideWhenUsed/>
    <w:rsid w:val="00271760"/>
    <w:pPr>
      <w:spacing w:after="100"/>
      <w:ind w:left="360"/>
      <w:jc w:val="left"/>
    </w:pPr>
    <w:rPr>
      <w:rFonts w:ascii="Times New Roman" w:hAnsi="Times New Roman"/>
      <w:sz w:val="18"/>
      <w:szCs w:val="20"/>
    </w:rPr>
  </w:style>
  <w:style w:type="paragraph" w:customStyle="1" w:styleId="SectionHeader110">
    <w:name w:val="Section Header110"/>
    <w:autoRedefine/>
    <w:rsid w:val="00271760"/>
    <w:pPr>
      <w:jc w:val="center"/>
    </w:pPr>
    <w:rPr>
      <w:b/>
      <w:caps/>
      <w:noProof/>
      <w:sz w:val="22"/>
    </w:rPr>
  </w:style>
  <w:style w:type="table" w:customStyle="1" w:styleId="TableGrid2">
    <w:name w:val="Table Grid2"/>
    <w:basedOn w:val="TableNormal"/>
    <w:next w:val="TableGrid"/>
    <w:uiPriority w:val="59"/>
    <w:rsid w:val="0091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2036">
      <w:bodyDiv w:val="1"/>
      <w:marLeft w:val="0"/>
      <w:marRight w:val="0"/>
      <w:marTop w:val="0"/>
      <w:marBottom w:val="0"/>
      <w:divBdr>
        <w:top w:val="none" w:sz="0" w:space="0" w:color="auto"/>
        <w:left w:val="none" w:sz="0" w:space="0" w:color="auto"/>
        <w:bottom w:val="none" w:sz="0" w:space="0" w:color="auto"/>
        <w:right w:val="none" w:sz="0" w:space="0" w:color="auto"/>
      </w:divBdr>
    </w:div>
    <w:div w:id="1670868919">
      <w:bodyDiv w:val="1"/>
      <w:marLeft w:val="0"/>
      <w:marRight w:val="0"/>
      <w:marTop w:val="0"/>
      <w:marBottom w:val="0"/>
      <w:divBdr>
        <w:top w:val="none" w:sz="0" w:space="0" w:color="auto"/>
        <w:left w:val="none" w:sz="0" w:space="0" w:color="auto"/>
        <w:bottom w:val="none" w:sz="0" w:space="0" w:color="auto"/>
        <w:right w:val="none" w:sz="0" w:space="0" w:color="auto"/>
      </w:divBdr>
    </w:div>
    <w:div w:id="1857619251">
      <w:bodyDiv w:val="1"/>
      <w:marLeft w:val="0"/>
      <w:marRight w:val="0"/>
      <w:marTop w:val="0"/>
      <w:marBottom w:val="0"/>
      <w:divBdr>
        <w:top w:val="none" w:sz="0" w:space="0" w:color="auto"/>
        <w:left w:val="none" w:sz="0" w:space="0" w:color="auto"/>
        <w:bottom w:val="none" w:sz="0" w:space="0" w:color="auto"/>
        <w:right w:val="none" w:sz="0" w:space="0" w:color="auto"/>
      </w:divBdr>
    </w:div>
    <w:div w:id="19288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epg.modot.org/forms/CM/CERTIFICATE_OF_MATERIALS_ORIGI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cfr.gov/cgi-bin/text-idx?SID=184e56a2d363d6eae0d991766144999b&amp;mc=true&amp;node=se2.1.200_1216&amp;rgn=div8"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LongProp xmlns="" name="Explanatory_Notes"><![CDATA[JSP-09-01R-Added Fiber for SMA Mixtures.
JSP-09-01S: Moved 401/402 Reclaimed Asphalt to General
Moved 413.30 UBAWS to General
Removed 622 Surf. Remv - previously moved to spec
Moved 1015 Preformance Graded Asphalt to General
Added JSP0807A to Sup JSP
JSP-09-01T Revisions to the AC Index Requirements]]></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JSP_Section xmlns="00ca3444-dc36-48d0-8ed3-fecfe750809b">0102 - Bidding Requirements and Conditions</JSP_Section>
    <Job xmlns="00ca3444-dc36-48d0-8ed3-fecfe750809b">v. AB - 3830, 3831.
3560, 3561
Revision Request 214-12/7/2015.
Revision Request 221-12/17/2015
Revision Request 320 &amp; 321
Revision Request 387
Revision Request 498 - JSP-09-01V
Revision Request 313 - JSP-09-01W
 605 - JSP-09-01X
 764 - JSP-09-01Y</Job>
    <Accountable_Division xmlns="00ca3444-dc36-48d0-8ed3-fecfe750809b">Design</Accountable_Division>
    <Frequently_x0020_Used xmlns="00ca3444-dc36-48d0-8ed3-fecfe750809b">true</Frequently_x0020_Used>
    <ExplanatoryNotes xmlns="00ca3444-dc36-48d0-8ed3-fecfe750809b">JSP-1801AB - 2/2/24 - add Sec 109.14 fuel index changes, add Disposal of Blast Media and Paint Residue.
JSP-1801AA - 10/27/23 -  Add Sec 106.9- revisions to Buy America- ( latest guidance from FHWA for funds obligated after October 23, 2023) effective for December 1, 2023 
JSP-1801Z - 06/21/23 -  Change formula in 8.3 for the Mix Design Volumetrics of the Ground tire Rubber process- effective for August 1, 2023 as well 
JSP-1801Z - 06/09/23 -  Add revisions to 403.19.2 - limitation to lot size 4,000 tons
JSP-1801Y - 04/20/23 - Delete 107- rewrite incorporated into Spec, delete 617.20.3 &amp; 1063.2 revisions, delete Alternate weather limitations, incorporated into Spec 
JSP-1801X - 11/30/22 - Add Alternate Weather Limitations for Plant Mix Bituminous Surface Leveling 
JSP-1801W - 09/22/22 - corrected formatting
JSP-1801W - 09/14/22 - corrected link in Buy America 
JSP-1801W - 09/09/22 - Add new Buy America requirements, Add revisions to 617.20.3 &amp; 1063.2 forType F three-loop temporary concrete barrier conditions
JSP-1801V - 05/06/22 - Add Ground Tire Rubber (GTR) Dry Process Modification of Bituminous Pavement Material and Sec 107 in its entirety, rewrite performed. 
JSP-1801U - 04/04/22 Delete COVID-19 Section- moved to General Provisions
JSP-1801T - 02/18/22 Delete Section 401 Water Quality updated MOU- moved to General Provisions
JSP-1801S - 12/30/21 Add Section 401 Water Quality updated MOU
JSP-1801R - 06/02/21 Removed revisions to Sec 413.10.5.5 for micro-surfacing weather and calendar limits and Sec 413.30.2.3 Reclaimed Asphalt. Revisions were added to Spec Book.
JSP-1801Q - 02/16/21 Add section on compliance with 2 CFR 200.216.
JSP-1801P - 12/2/20 Added revisions to Sec 413.10.5.5 for micro-surfacing weather and calendar limits. 
JSP-1801O - Skipped
JSP-1801N - 11/23/20 - Added revised specification 413.30.2.3 Reclaimed Asphalt. 
JSP-1801M - 08/17/20 - Removed revisions to 613 to clarify Class B partial depth pavement repair is only meant for existing concrete pavements.
7/29/20 - Updated margins.
JSP-1801L - 07/30/20 - Added specification for Anti-Discrimination Against Israel Certification.
JSP-1801K - 05/27/20 - Added revisions to 613 to clarify Class B partial depth pavement repair is only meant for existing concrete pavements.
JSP-1801J - 04/10/20 - Revised SW Requirements and added COVID-19 Safety.
JSP-1801H: 05/30/19 - Removed sections 106 and 616 and added them to the Spec Book. 
JSP-1801G: 02/05/19 - Removed section 610.4.5.4 as it was updated in the Spec Book. 
JSP-1801F: 11/09/18 - Added section 610.4.5.4 with updated chart. 
JSP-1801E: 09/20/18 - Added section for Stormwater Compliance Requirements
JSP-1801D: 05/21/18 - Removed Sec. 109, 403, 606, 620, and 1081 and added them to Spec Book
JSP-1801C: 05/09/18 - Updated link to Certificate of Materials origin form.
JSP-1801C: 03/22/18 - Added 106.9 sections for Buy America Requirements. 
JSP-1801B: 03/12/2018 - Removed "new, and newly ground" from Sec 620.60.1 when describing concrete.
01/18/2018 - New JSP number; minor addition to 620.60.1 
JSP-0901Z: 12/08/17 - updates 616.5 to include use of red/blue lights in work zones
JSP-09-01X: 06/21/2017 With the updates to Sections 620 and 1048 in the Spec Book, 620.10… and 1048.10… were removed from the Supplemental JSP and 620.80 was renumbered to 620.60. 
JSP-09-01W With revision to Sec 407 in the July 2016 Ballot, this section 407 of the supplemental JSP is removed. Effective for March 2017.
JSP-09-01V Transferred liability to contractor for Hazardous Waste Specialists when registering project sites as hazardous waste generators for contractor activities
JSP-09-01U Created a new approach to paying contractors for the required grading associated with guardrail and guardrail end terminals.
JSP-09-01T Revisions to the AC Index Requirements
JSP-09-01S: Moved 401/402 Reclaimed Asphalt to General
JSP-09-01R-Added Fiber for SMA Mixtures.</ExplanatoryNotes>
    <ShortName xmlns="00ca3444-dc36-48d0-8ed3-fecfe750809b">SUPPREV</ShortName>
    <First_Effective_Bid_Opening_Date xmlns="00ca3444-dc36-48d0-8ed3-fecfe750809b" xsi:nil="true"/>
    <JSP_Author xmlns="00ca3444-dc36-48d0-8ed3-fecfe750809b">Scott B Stotlemeyer</JSP_Author>
    <Revision_Date xmlns="00ca3444-dc36-48d0-8ed3-fecfe750809b">2024-02-02T06:00:00+00:00</Revision_Date>
    <JSP_Title xmlns="00ca3444-dc36-48d0-8ed3-fecfe750809b">Supplemental Revisions</JSP_Title>
    <Explanatory_Notes xmlns="00ca3444-dc36-48d0-8ed3-fecfe750809b">This provision is required in all contracts.</Explanatory_Notes>
    <JSP_ID_Num xmlns="00ca3444-dc36-48d0-8ed3-fecfe750809b">JSP-18-01AB</JSP_ID_Num>
    <Active_x002f_Inactive xmlns="00ca3444-dc36-48d0-8ed3-fecfe750809b">Active</Active_x002f_Inactive>
    <JSP_Type xmlns="00ca3444-dc36-48d0-8ed3-fecfe750809b">Provision</JSP_Type>
    <Effective_x0020_Letting xmlns="00ca3444-dc36-48d0-8ed3-fecfe750809b">04/01/2024</Effective_x0020_Letting>
  </documentManagement>
</p:properties>
</file>

<file path=customXml/itemProps1.xml><?xml version="1.0" encoding="utf-8"?>
<ds:datastoreItem xmlns:ds="http://schemas.openxmlformats.org/officeDocument/2006/customXml" ds:itemID="{09D48111-3504-4645-A1EB-A8321A3D33EB}"/>
</file>

<file path=customXml/itemProps2.xml><?xml version="1.0" encoding="utf-8"?>
<ds:datastoreItem xmlns:ds="http://schemas.openxmlformats.org/officeDocument/2006/customXml" ds:itemID="{490B86E5-6F27-485B-AD50-8AB4922C902C}">
  <ds:schemaRefs>
    <ds:schemaRef ds:uri="http://schemas.microsoft.com/office/2006/metadata/customXsn"/>
  </ds:schemaRefs>
</ds:datastoreItem>
</file>

<file path=customXml/itemProps3.xml><?xml version="1.0" encoding="utf-8"?>
<ds:datastoreItem xmlns:ds="http://schemas.openxmlformats.org/officeDocument/2006/customXml" ds:itemID="{AAF0F796-0363-4D06-99DC-15E09A7F7C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2123641-2D4E-46E8-8648-AC5F26A3DDE2}">
  <ds:schemaRefs>
    <ds:schemaRef ds:uri="http://schemas.openxmlformats.org/officeDocument/2006/bibliography"/>
  </ds:schemaRefs>
</ds:datastoreItem>
</file>

<file path=customXml/itemProps5.xml><?xml version="1.0" encoding="utf-8"?>
<ds:datastoreItem xmlns:ds="http://schemas.openxmlformats.org/officeDocument/2006/customXml" ds:itemID="{82CA4139-C095-4431-8F96-915155B6C66B}">
  <ds:schemaRefs>
    <ds:schemaRef ds:uri="http://schemas.microsoft.com/sharepoint/v3/contenttype/forms"/>
  </ds:schemaRefs>
</ds:datastoreItem>
</file>

<file path=customXml/itemProps6.xml><?xml version="1.0" encoding="utf-8"?>
<ds:datastoreItem xmlns:ds="http://schemas.openxmlformats.org/officeDocument/2006/customXml" ds:itemID="{C403C623-1BBD-4A19-B419-F681D12C7815}">
  <ds:schemaRefs>
    <ds:schemaRef ds:uri="00ca3444-dc36-48d0-8ed3-fecfe750809b"/>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4752</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Supplemental Revisions</vt:lpstr>
    </vt:vector>
  </TitlesOfParts>
  <Company>MoDOT</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Revisions</dc:title>
  <dc:subject/>
  <dc:creator>smithk</dc:creator>
  <cp:keywords/>
  <cp:lastModifiedBy>Duke M. Leggett</cp:lastModifiedBy>
  <cp:revision>42</cp:revision>
  <cp:lastPrinted>2019-05-31T01:26:00Z</cp:lastPrinted>
  <dcterms:created xsi:type="dcterms:W3CDTF">2023-02-09T19:50:00Z</dcterms:created>
  <dcterms:modified xsi:type="dcterms:W3CDTF">2024-02-02T14:53:00Z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Type0">
    <vt:lpwstr/>
  </property>
  <property fmtid="{D5CDD505-2E9C-101B-9397-08002B2CF9AE}" pid="4" name="Units">
    <vt:lpwstr>Dual</vt:lpwstr>
  </property>
  <property fmtid="{D5CDD505-2E9C-101B-9397-08002B2CF9AE}" pid="5" name="ExplanatoryNotes0">
    <vt:lpwstr/>
  </property>
  <property fmtid="{D5CDD505-2E9C-101B-9397-08002B2CF9AE}" pid="6" name="Order">
    <vt:r8>52000</vt:r8>
  </property>
  <property fmtid="{D5CDD505-2E9C-101B-9397-08002B2CF9AE}" pid="7" name="Revision Request Number">
    <vt:lpwstr/>
  </property>
  <property fmtid="{D5CDD505-2E9C-101B-9397-08002B2CF9AE}" pid="8" name="ShortName0">
    <vt:lpwstr/>
  </property>
  <property fmtid="{D5CDD505-2E9C-101B-9397-08002B2CF9AE}" pid="9" name="Last_Effective_Bid_Opening_Date">
    <vt:lpwstr/>
  </property>
  <property fmtid="{D5CDD505-2E9C-101B-9397-08002B2CF9AE}" pid="10" name="Last_Modified0">
    <vt:lpwstr/>
  </property>
  <property fmtid="{D5CDD505-2E9C-101B-9397-08002B2CF9AE}" pid="11" name="Draft0">
    <vt:lpwstr/>
  </property>
  <property fmtid="{D5CDD505-2E9C-101B-9397-08002B2CF9AE}" pid="12" name="Active/Inactive0">
    <vt:lpwstr/>
  </property>
  <property fmtid="{D5CDD505-2E9C-101B-9397-08002B2CF9AE}" pid="13" name="NotesID">
    <vt:lpwstr>146F01C284C3A21386257666005DAB27</vt:lpwstr>
  </property>
  <property fmtid="{D5CDD505-2E9C-101B-9397-08002B2CF9AE}" pid="14" name="First_Effective_Bid_Opening_Date0">
    <vt:lpwstr/>
  </property>
  <property fmtid="{D5CDD505-2E9C-101B-9397-08002B2CF9AE}" pid="15" name="Frequently Used0">
    <vt:bool>false</vt:bool>
  </property>
  <property fmtid="{D5CDD505-2E9C-101B-9397-08002B2CF9AE}" pid="16" name="JSP_Title0">
    <vt:lpwstr/>
  </property>
  <property fmtid="{D5CDD505-2E9C-101B-9397-08002B2CF9AE}" pid="17" name="Accountable_Division0">
    <vt:lpwstr/>
  </property>
  <property fmtid="{D5CDD505-2E9C-101B-9397-08002B2CF9AE}" pid="18" name="JSP_Author0">
    <vt:lpwstr/>
  </property>
  <property fmtid="{D5CDD505-2E9C-101B-9397-08002B2CF9AE}" pid="19" name="NotesID0">
    <vt:lpwstr/>
  </property>
  <property fmtid="{D5CDD505-2E9C-101B-9397-08002B2CF9AE}" pid="20" name="Explanatory_Notes0">
    <vt:lpwstr/>
  </property>
  <property fmtid="{D5CDD505-2E9C-101B-9397-08002B2CF9AE}" pid="21" name="Units0">
    <vt:lpwstr/>
  </property>
  <property fmtid="{D5CDD505-2E9C-101B-9397-08002B2CF9AE}" pid="22" name="JSP_Section0">
    <vt:lpwstr/>
  </property>
  <property fmtid="{D5CDD505-2E9C-101B-9397-08002B2CF9AE}" pid="23" name="Current Version">
    <vt:lpwstr/>
  </property>
  <property fmtid="{D5CDD505-2E9C-101B-9397-08002B2CF9AE}" pid="24" name="FileAttach0">
    <vt:lpwstr/>
  </property>
  <property fmtid="{D5CDD505-2E9C-101B-9397-08002B2CF9AE}" pid="25" name="Last_Modified">
    <vt:lpwstr>10/27/23</vt:lpwstr>
  </property>
</Properties>
</file>