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70D9" w14:textId="77777777" w:rsidR="002170F8" w:rsidRPr="003614D4" w:rsidRDefault="003614D4" w:rsidP="003614D4">
      <w:pPr>
        <w:pStyle w:val="Heading1"/>
      </w:pPr>
      <w:r w:rsidRPr="003614D4">
        <w:t>Emergency Prov</w:t>
      </w:r>
      <w:r>
        <w:t>isions and Incident Management</w:t>
      </w:r>
      <w:r w:rsidRPr="003614D4">
        <w:rPr>
          <w:u w:val="none"/>
        </w:rPr>
        <w:t xml:space="preserve"> </w:t>
      </w:r>
      <w:r w:rsidR="002170F8" w:rsidRPr="003614D4">
        <w:rPr>
          <w:u w:val="none"/>
        </w:rPr>
        <w:t>JSP-90-11</w:t>
      </w:r>
      <w:r w:rsidR="00B52CC8">
        <w:rPr>
          <w:u w:val="none"/>
        </w:rPr>
        <w:t>A</w:t>
      </w:r>
    </w:p>
    <w:p w14:paraId="19F224DA" w14:textId="77777777" w:rsidR="002170F8" w:rsidRDefault="002170F8">
      <w:pPr>
        <w:pStyle w:val="BodyText"/>
        <w:jc w:val="both"/>
      </w:pPr>
    </w:p>
    <w:p w14:paraId="797C87DF" w14:textId="77777777" w:rsidR="002170F8" w:rsidRDefault="002170F8">
      <w:pPr>
        <w:pStyle w:val="BodyText"/>
        <w:jc w:val="both"/>
      </w:pPr>
      <w:r>
        <w:rPr>
          <w:b/>
          <w:sz w:val="22"/>
        </w:rPr>
        <w:t>1.0</w:t>
      </w:r>
      <w:r>
        <w:rPr>
          <w:sz w:val="22"/>
        </w:rPr>
        <w:t xml:space="preserve">  The contractor shall have communication equipment on the construction site or immediate access to other communication systems to request assistance from </w:t>
      </w:r>
      <w:r w:rsidR="00B52CC8">
        <w:rPr>
          <w:sz w:val="22"/>
        </w:rPr>
        <w:t>law enforcement</w:t>
      </w:r>
      <w:r>
        <w:rPr>
          <w:sz w:val="22"/>
        </w:rPr>
        <w:t xml:space="preserve"> or other emergency agencies for incident management.  In case of traffic accidents or the need for </w:t>
      </w:r>
      <w:r w:rsidR="00B52CC8">
        <w:rPr>
          <w:sz w:val="22"/>
        </w:rPr>
        <w:t>law enforcement</w:t>
      </w:r>
      <w:r>
        <w:rPr>
          <w:sz w:val="22"/>
        </w:rPr>
        <w:t xml:space="preserve"> to direct or restore traffic flow through the job site, the contractor shall notify </w:t>
      </w:r>
      <w:r w:rsidR="00B52CC8">
        <w:rPr>
          <w:sz w:val="22"/>
        </w:rPr>
        <w:t>law enforcement</w:t>
      </w:r>
      <w:r>
        <w:rPr>
          <w:sz w:val="22"/>
        </w:rPr>
        <w:t xml:space="preserve"> or other emergency agencies immediately as needed.  The area engineer's office shall also be notified when the contractor requests emergency assistance.</w:t>
      </w:r>
    </w:p>
    <w:p w14:paraId="39757D8F" w14:textId="77777777" w:rsidR="002170F8" w:rsidRDefault="002170F8">
      <w:pPr>
        <w:pStyle w:val="BodyText"/>
        <w:jc w:val="both"/>
      </w:pPr>
    </w:p>
    <w:p w14:paraId="6B5EA10D" w14:textId="77777777" w:rsidR="002170F8" w:rsidRDefault="002170F8">
      <w:pPr>
        <w:pStyle w:val="BodyText"/>
        <w:jc w:val="both"/>
        <w:rPr>
          <w:sz w:val="22"/>
        </w:rPr>
      </w:pPr>
      <w:r>
        <w:rPr>
          <w:b/>
          <w:sz w:val="22"/>
        </w:rPr>
        <w:t>2.0</w:t>
      </w:r>
      <w:r>
        <w:rPr>
          <w:sz w:val="22"/>
        </w:rPr>
        <w:t xml:space="preserve">  In addition to the 911 emergency telephone number for ambulance, fire or </w:t>
      </w:r>
      <w:r w:rsidR="00B52CC8">
        <w:rPr>
          <w:sz w:val="22"/>
        </w:rPr>
        <w:t>law enforcement</w:t>
      </w:r>
      <w:r>
        <w:rPr>
          <w:sz w:val="22"/>
        </w:rPr>
        <w:t xml:space="preserve"> services, the following agencies may also be notified for accident or emergency situation within the project limits.</w:t>
      </w:r>
    </w:p>
    <w:p w14:paraId="28556237" w14:textId="77777777" w:rsidR="00144696" w:rsidRDefault="00144696" w:rsidP="00144696">
      <w:pPr>
        <w:pStyle w:val="BodyText"/>
        <w:jc w:val="both"/>
        <w:rPr>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144696" w14:paraId="6308B4F6" w14:textId="77777777" w:rsidTr="00E26B18">
        <w:tblPrEx>
          <w:tblCellMar>
            <w:top w:w="0" w:type="dxa"/>
            <w:bottom w:w="0" w:type="dxa"/>
          </w:tblCellMar>
        </w:tblPrEx>
        <w:trPr>
          <w:cantSplit/>
          <w:trHeight w:val="360"/>
          <w:jc w:val="center"/>
        </w:trPr>
        <w:tc>
          <w:tcPr>
            <w:tcW w:w="8631" w:type="dxa"/>
            <w:gridSpan w:val="3"/>
            <w:tcBorders>
              <w:top w:val="single" w:sz="6" w:space="0" w:color="auto"/>
              <w:left w:val="single" w:sz="6" w:space="0" w:color="auto"/>
              <w:bottom w:val="single" w:sz="6" w:space="0" w:color="auto"/>
              <w:right w:val="single" w:sz="4" w:space="0" w:color="auto"/>
            </w:tcBorders>
            <w:vAlign w:val="center"/>
          </w:tcPr>
          <w:p w14:paraId="6EA5A06F" w14:textId="77777777" w:rsidR="00144696" w:rsidRDefault="00144696" w:rsidP="00E26B18">
            <w:pPr>
              <w:pStyle w:val="BodyText"/>
              <w:jc w:val="center"/>
            </w:pPr>
            <w:r>
              <w:rPr>
                <w:sz w:val="22"/>
              </w:rPr>
              <w:t>Missouri Highway Patrol  XXX-XXX-XXXX</w:t>
            </w:r>
          </w:p>
        </w:tc>
      </w:tr>
      <w:tr w:rsidR="00144696" w14:paraId="13FFCA88" w14:textId="77777777" w:rsidTr="00E26B18">
        <w:tblPrEx>
          <w:tblCellMar>
            <w:top w:w="0" w:type="dxa"/>
            <w:bottom w:w="0" w:type="dxa"/>
          </w:tblCellMar>
        </w:tblPrEx>
        <w:trPr>
          <w:cantSplit/>
          <w:trHeight w:val="360"/>
          <w:jc w:val="center"/>
        </w:trPr>
        <w:tc>
          <w:tcPr>
            <w:tcW w:w="3015" w:type="dxa"/>
            <w:tcBorders>
              <w:top w:val="single" w:sz="6" w:space="0" w:color="auto"/>
              <w:left w:val="single" w:sz="6" w:space="0" w:color="auto"/>
              <w:bottom w:val="single" w:sz="6" w:space="0" w:color="auto"/>
              <w:right w:val="single" w:sz="6" w:space="0" w:color="auto"/>
            </w:tcBorders>
            <w:vAlign w:val="center"/>
          </w:tcPr>
          <w:p w14:paraId="60133E45" w14:textId="77777777" w:rsidR="00144696" w:rsidRDefault="00144696" w:rsidP="00E26B18">
            <w:pPr>
              <w:pStyle w:val="BodyText"/>
            </w:pPr>
            <w:r>
              <w:rPr>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vAlign w:val="center"/>
          </w:tcPr>
          <w:p w14:paraId="5D48D566" w14:textId="77777777" w:rsidR="00144696" w:rsidRDefault="00144696" w:rsidP="00E26B18">
            <w:pPr>
              <w:pStyle w:val="BodyText"/>
            </w:pPr>
            <w:r>
              <w:rPr>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vAlign w:val="center"/>
          </w:tcPr>
          <w:p w14:paraId="4E2F9F51" w14:textId="77777777" w:rsidR="00144696" w:rsidRDefault="00144696" w:rsidP="00E26B18">
            <w:pPr>
              <w:pStyle w:val="BodyText"/>
            </w:pPr>
            <w:r>
              <w:rPr>
                <w:sz w:val="22"/>
              </w:rPr>
              <w:t xml:space="preserve">City of _____________ </w:t>
            </w:r>
          </w:p>
        </w:tc>
      </w:tr>
      <w:tr w:rsidR="00144696" w14:paraId="710EE3C3" w14:textId="77777777" w:rsidTr="00E26B18">
        <w:tblPrEx>
          <w:tblCellMar>
            <w:top w:w="0" w:type="dxa"/>
            <w:bottom w:w="0" w:type="dxa"/>
          </w:tblCellMar>
        </w:tblPrEx>
        <w:trPr>
          <w:cantSplit/>
          <w:trHeight w:val="360"/>
          <w:jc w:val="center"/>
        </w:trPr>
        <w:tc>
          <w:tcPr>
            <w:tcW w:w="3015" w:type="dxa"/>
            <w:tcBorders>
              <w:top w:val="single" w:sz="6" w:space="0" w:color="auto"/>
              <w:left w:val="single" w:sz="6" w:space="0" w:color="auto"/>
              <w:bottom w:val="single" w:sz="6" w:space="0" w:color="auto"/>
              <w:right w:val="single" w:sz="6" w:space="0" w:color="auto"/>
            </w:tcBorders>
            <w:vAlign w:val="center"/>
          </w:tcPr>
          <w:p w14:paraId="570990A8" w14:textId="77777777" w:rsidR="00144696" w:rsidRDefault="00144696" w:rsidP="00E26B18">
            <w:pPr>
              <w:pStyle w:val="BodyText"/>
            </w:pPr>
            <w:r>
              <w:rPr>
                <w:sz w:val="22"/>
              </w:rPr>
              <w:t>Fire:  XXX-XXX-XXXX</w:t>
            </w:r>
          </w:p>
        </w:tc>
        <w:tc>
          <w:tcPr>
            <w:tcW w:w="2808" w:type="dxa"/>
            <w:tcBorders>
              <w:top w:val="single" w:sz="6" w:space="0" w:color="auto"/>
              <w:left w:val="single" w:sz="6" w:space="0" w:color="auto"/>
              <w:bottom w:val="single" w:sz="6" w:space="0" w:color="auto"/>
              <w:right w:val="single" w:sz="6" w:space="0" w:color="auto"/>
            </w:tcBorders>
            <w:vAlign w:val="center"/>
          </w:tcPr>
          <w:p w14:paraId="24FF614A" w14:textId="77777777" w:rsidR="00144696" w:rsidRDefault="00144696" w:rsidP="00E26B18">
            <w:pPr>
              <w:pStyle w:val="BodyText"/>
            </w:pPr>
            <w:r>
              <w:rPr>
                <w:sz w:val="22"/>
              </w:rPr>
              <w:t>Fire:  XXX-XXX-XXXX</w:t>
            </w:r>
          </w:p>
        </w:tc>
        <w:tc>
          <w:tcPr>
            <w:tcW w:w="2808" w:type="dxa"/>
            <w:tcBorders>
              <w:top w:val="single" w:sz="6" w:space="0" w:color="auto"/>
              <w:left w:val="single" w:sz="6" w:space="0" w:color="auto"/>
              <w:bottom w:val="single" w:sz="6" w:space="0" w:color="auto"/>
              <w:right w:val="single" w:sz="6" w:space="0" w:color="auto"/>
            </w:tcBorders>
            <w:vAlign w:val="center"/>
          </w:tcPr>
          <w:p w14:paraId="744408B4" w14:textId="77777777" w:rsidR="00144696" w:rsidRDefault="00144696" w:rsidP="00E26B18">
            <w:pPr>
              <w:pStyle w:val="BodyText"/>
            </w:pPr>
            <w:r>
              <w:rPr>
                <w:sz w:val="22"/>
              </w:rPr>
              <w:t>Fire:  XXX-XXX-XXXX</w:t>
            </w:r>
          </w:p>
        </w:tc>
      </w:tr>
      <w:tr w:rsidR="00144696" w14:paraId="57BD7362" w14:textId="77777777" w:rsidTr="00E26B18">
        <w:tblPrEx>
          <w:tblCellMar>
            <w:top w:w="0" w:type="dxa"/>
            <w:bottom w:w="0" w:type="dxa"/>
          </w:tblCellMar>
        </w:tblPrEx>
        <w:trPr>
          <w:cantSplit/>
          <w:trHeight w:val="360"/>
          <w:jc w:val="center"/>
        </w:trPr>
        <w:tc>
          <w:tcPr>
            <w:tcW w:w="3015" w:type="dxa"/>
            <w:tcBorders>
              <w:top w:val="single" w:sz="6" w:space="0" w:color="auto"/>
              <w:left w:val="single" w:sz="6" w:space="0" w:color="auto"/>
              <w:right w:val="single" w:sz="6" w:space="0" w:color="auto"/>
            </w:tcBorders>
            <w:vAlign w:val="center"/>
          </w:tcPr>
          <w:p w14:paraId="6344B223" w14:textId="77777777" w:rsidR="00144696" w:rsidRDefault="00144696" w:rsidP="00E26B18">
            <w:pPr>
              <w:pStyle w:val="BodyText"/>
            </w:pPr>
            <w:r>
              <w:rPr>
                <w:sz w:val="22"/>
              </w:rPr>
              <w:t>Police:  XXX-XXX-XXXX</w:t>
            </w:r>
          </w:p>
        </w:tc>
        <w:tc>
          <w:tcPr>
            <w:tcW w:w="2808" w:type="dxa"/>
            <w:tcBorders>
              <w:top w:val="single" w:sz="6" w:space="0" w:color="auto"/>
              <w:left w:val="single" w:sz="6" w:space="0" w:color="auto"/>
              <w:right w:val="single" w:sz="6" w:space="0" w:color="auto"/>
            </w:tcBorders>
            <w:vAlign w:val="center"/>
          </w:tcPr>
          <w:p w14:paraId="5D72E41F" w14:textId="77777777" w:rsidR="00144696" w:rsidRDefault="00144696" w:rsidP="00E26B18">
            <w:pPr>
              <w:pStyle w:val="BodyText"/>
            </w:pPr>
            <w:r>
              <w:rPr>
                <w:sz w:val="22"/>
              </w:rPr>
              <w:t>Police:  XXX-XXX-XXXX</w:t>
            </w:r>
          </w:p>
        </w:tc>
        <w:tc>
          <w:tcPr>
            <w:tcW w:w="2808" w:type="dxa"/>
            <w:tcBorders>
              <w:top w:val="single" w:sz="6" w:space="0" w:color="auto"/>
              <w:left w:val="single" w:sz="6" w:space="0" w:color="auto"/>
              <w:right w:val="single" w:sz="6" w:space="0" w:color="auto"/>
            </w:tcBorders>
            <w:vAlign w:val="center"/>
          </w:tcPr>
          <w:p w14:paraId="1BA65953" w14:textId="77777777" w:rsidR="00144696" w:rsidRDefault="00144696" w:rsidP="00E26B18">
            <w:pPr>
              <w:pStyle w:val="BodyText"/>
            </w:pPr>
            <w:r>
              <w:rPr>
                <w:sz w:val="22"/>
              </w:rPr>
              <w:t>Police:  XXX-XXX-XXXX</w:t>
            </w:r>
          </w:p>
        </w:tc>
      </w:tr>
      <w:tr w:rsidR="00144696" w14:paraId="19852BF1" w14:textId="77777777" w:rsidTr="00E26B18">
        <w:tblPrEx>
          <w:tblCellMar>
            <w:top w:w="0" w:type="dxa"/>
            <w:bottom w:w="0" w:type="dxa"/>
          </w:tblCellMar>
        </w:tblPrEx>
        <w:trPr>
          <w:cantSplit/>
          <w:trHeight w:val="360"/>
          <w:jc w:val="center"/>
        </w:trPr>
        <w:tc>
          <w:tcPr>
            <w:tcW w:w="8631" w:type="dxa"/>
            <w:gridSpan w:val="3"/>
            <w:tcBorders>
              <w:top w:val="single" w:sz="6" w:space="0" w:color="auto"/>
              <w:left w:val="single" w:sz="6" w:space="0" w:color="auto"/>
              <w:bottom w:val="single" w:sz="6" w:space="0" w:color="auto"/>
              <w:right w:val="single" w:sz="4" w:space="0" w:color="auto"/>
            </w:tcBorders>
            <w:vAlign w:val="center"/>
          </w:tcPr>
          <w:p w14:paraId="1A005337" w14:textId="77777777" w:rsidR="00144696" w:rsidRDefault="00144696" w:rsidP="00E26B18">
            <w:pPr>
              <w:pStyle w:val="BodyText"/>
              <w:jc w:val="center"/>
            </w:pPr>
            <w:r>
              <w:rPr>
                <w:i/>
                <w:sz w:val="22"/>
              </w:rPr>
              <w:t>&lt;Add or delete Cities and/or other municipalities as needed&gt;</w:t>
            </w:r>
          </w:p>
        </w:tc>
      </w:tr>
    </w:tbl>
    <w:p w14:paraId="24F3708E" w14:textId="77777777" w:rsidR="00144696" w:rsidRDefault="00144696" w:rsidP="00144696">
      <w:pPr>
        <w:rPr>
          <w:snapToGrid w:val="0"/>
          <w:sz w:val="24"/>
        </w:rPr>
      </w:pPr>
    </w:p>
    <w:p w14:paraId="2A31AD50" w14:textId="77777777" w:rsidR="002170F8" w:rsidRDefault="002170F8">
      <w:pPr>
        <w:pStyle w:val="BodyText"/>
        <w:jc w:val="both"/>
      </w:pPr>
      <w:r>
        <w:rPr>
          <w:b/>
          <w:sz w:val="22"/>
        </w:rPr>
        <w:t>2.1</w:t>
      </w:r>
      <w:r>
        <w:rPr>
          <w:sz w:val="22"/>
        </w:rPr>
        <w:t xml:space="preserve">  This list is not all inclusive.  Notification of the need for wrecker or tow truck services will remain the responsibility of the appropriate </w:t>
      </w:r>
      <w:r w:rsidR="00B52CC8">
        <w:rPr>
          <w:sz w:val="22"/>
        </w:rPr>
        <w:t>law enforcement</w:t>
      </w:r>
      <w:r>
        <w:rPr>
          <w:sz w:val="22"/>
        </w:rPr>
        <w:t xml:space="preserve"> agency.</w:t>
      </w:r>
    </w:p>
    <w:p w14:paraId="4ED2929B" w14:textId="77777777" w:rsidR="002170F8" w:rsidRDefault="002170F8">
      <w:pPr>
        <w:pStyle w:val="BodyText"/>
        <w:jc w:val="both"/>
      </w:pPr>
    </w:p>
    <w:p w14:paraId="7F4F1527" w14:textId="77777777" w:rsidR="002170F8" w:rsidRDefault="002170F8">
      <w:pPr>
        <w:pStyle w:val="BodyText"/>
        <w:jc w:val="both"/>
      </w:pPr>
      <w:r>
        <w:rPr>
          <w:b/>
          <w:sz w:val="22"/>
        </w:rPr>
        <w:t>2.2</w:t>
      </w:r>
      <w:r>
        <w:rPr>
          <w:sz w:val="22"/>
        </w:rPr>
        <w:t xml:space="preserve">  The contractor shall notify </w:t>
      </w:r>
      <w:r w:rsidR="00B52CC8">
        <w:rPr>
          <w:sz w:val="22"/>
        </w:rPr>
        <w:t xml:space="preserve">law </w:t>
      </w:r>
      <w:r>
        <w:rPr>
          <w:sz w:val="22"/>
        </w:rPr>
        <w:t xml:space="preserve">enforcement and emergency agencies before the start of construction to request their cooperation and to provide coordination of services when emergencies arise during the construction at the project site.  When the contractor completes this notification with </w:t>
      </w:r>
      <w:r w:rsidR="00B52CC8">
        <w:rPr>
          <w:sz w:val="22"/>
        </w:rPr>
        <w:t xml:space="preserve">law </w:t>
      </w:r>
      <w:r>
        <w:rPr>
          <w:sz w:val="22"/>
        </w:rPr>
        <w:t>enforcement and emergency agencies, a report shall be furnished to the engineer on the status of incident management.</w:t>
      </w:r>
    </w:p>
    <w:p w14:paraId="17EB7900" w14:textId="77777777" w:rsidR="002170F8" w:rsidRDefault="002170F8">
      <w:pPr>
        <w:pStyle w:val="BodyText"/>
        <w:jc w:val="both"/>
      </w:pPr>
    </w:p>
    <w:p w14:paraId="3F8DA3FB" w14:textId="77777777" w:rsidR="002170F8" w:rsidRDefault="002170F8">
      <w:pPr>
        <w:pStyle w:val="BodyText"/>
        <w:jc w:val="both"/>
        <w:rPr>
          <w:sz w:val="22"/>
        </w:rPr>
      </w:pPr>
      <w:r>
        <w:rPr>
          <w:b/>
          <w:sz w:val="22"/>
        </w:rPr>
        <w:t>3.0</w:t>
      </w:r>
      <w:r>
        <w:rPr>
          <w:sz w:val="22"/>
        </w:rPr>
        <w:t xml:space="preserve">  No direct pay will be made to the contractor to recover the cost of the communication equipment, labor, materials or time required to fulfill the above provisions.</w:t>
      </w:r>
    </w:p>
    <w:p w14:paraId="37D8A9C1" w14:textId="77777777" w:rsidR="003614D4" w:rsidRDefault="003614D4">
      <w:pPr>
        <w:pStyle w:val="BodyText"/>
        <w:jc w:val="both"/>
        <w:rPr>
          <w:sz w:val="22"/>
        </w:rPr>
      </w:pPr>
    </w:p>
    <w:p w14:paraId="0DF5153A" w14:textId="77777777" w:rsidR="003614D4" w:rsidRDefault="003614D4">
      <w:pPr>
        <w:pStyle w:val="BodyText"/>
        <w:jc w:val="both"/>
        <w:rPr>
          <w:sz w:val="22"/>
        </w:rPr>
      </w:pPr>
    </w:p>
    <w:sectPr w:rsidR="003614D4">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163"/>
    <w:rsid w:val="0008707F"/>
    <w:rsid w:val="00144696"/>
    <w:rsid w:val="002170F8"/>
    <w:rsid w:val="003614D4"/>
    <w:rsid w:val="00AF5163"/>
    <w:rsid w:val="00B52CC8"/>
    <w:rsid w:val="00E2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517629"/>
  <w15:chartTrackingRefBased/>
  <w15:docId w15:val="{17928A6E-D172-4381-8B84-8EE23835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96"/>
    <w:rPr>
      <w:rFonts w:ascii="Arial" w:hAnsi="Arial"/>
      <w:sz w:val="22"/>
    </w:rPr>
  </w:style>
  <w:style w:type="paragraph" w:styleId="Heading1">
    <w:name w:val="heading 1"/>
    <w:basedOn w:val="Normal"/>
    <w:next w:val="Normal"/>
    <w:link w:val="Heading1Char"/>
    <w:uiPriority w:val="9"/>
    <w:qFormat/>
    <w:rsid w:val="003614D4"/>
    <w:pPr>
      <w:jc w:val="both"/>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napToGrid w:val="0"/>
      <w:color w:val="000000"/>
      <w:sz w:val="24"/>
    </w:rPr>
  </w:style>
  <w:style w:type="paragraph" w:customStyle="1" w:styleId="BodySingle">
    <w:name w:val="Body Single"/>
    <w:pPr>
      <w:widowControl w:val="0"/>
    </w:pPr>
    <w:rPr>
      <w:snapToGrid w:val="0"/>
      <w:color w:val="000000"/>
      <w:sz w:val="24"/>
    </w:rPr>
  </w:style>
  <w:style w:type="paragraph" w:customStyle="1" w:styleId="Bullet">
    <w:name w:val="Bullet"/>
    <w:pPr>
      <w:widowControl w:val="0"/>
      <w:ind w:left="288"/>
    </w:pPr>
    <w:rPr>
      <w:snapToGrid w:val="0"/>
      <w:color w:val="000000"/>
      <w:sz w:val="24"/>
    </w:rPr>
  </w:style>
  <w:style w:type="paragraph" w:customStyle="1" w:styleId="Bullet1">
    <w:name w:val="Bullet 1"/>
    <w:pPr>
      <w:widowControl w:val="0"/>
      <w:ind w:left="576"/>
    </w:pPr>
    <w:rPr>
      <w:snapToGrid w:val="0"/>
      <w:color w:val="000000"/>
      <w:sz w:val="24"/>
    </w:rPr>
  </w:style>
  <w:style w:type="paragraph" w:customStyle="1" w:styleId="NumberList">
    <w:name w:val="Number List"/>
    <w:pPr>
      <w:widowControl w:val="0"/>
      <w:ind w:left="720"/>
    </w:pPr>
    <w:rPr>
      <w:snapToGrid w:val="0"/>
      <w:color w:val="000000"/>
      <w:sz w:val="24"/>
    </w:rPr>
  </w:style>
  <w:style w:type="paragraph" w:customStyle="1" w:styleId="Subhead">
    <w:name w:val="Subhead"/>
    <w:pPr>
      <w:widowControl w:val="0"/>
      <w:spacing w:before="72" w:after="72"/>
    </w:pPr>
    <w:rPr>
      <w:b/>
      <w:i/>
      <w:snapToGrid w:val="0"/>
      <w:color w:val="000000"/>
      <w:sz w:val="24"/>
    </w:rPr>
  </w:style>
  <w:style w:type="paragraph" w:styleId="Title">
    <w:name w:val="Title"/>
    <w:basedOn w:val="Normal"/>
    <w:qFormat/>
    <w:pPr>
      <w:keepNext/>
      <w:keepLines/>
      <w:widowControl w:val="0"/>
      <w:spacing w:before="144" w:after="72"/>
    </w:pPr>
    <w:rPr>
      <w:b/>
      <w:snapToGrid w:val="0"/>
      <w:color w:val="000000"/>
      <w:sz w:val="36"/>
    </w:rPr>
  </w:style>
  <w:style w:type="paragraph" w:styleId="Header">
    <w:name w:val="header"/>
    <w:basedOn w:val="Normal"/>
    <w:semiHidden/>
    <w:pPr>
      <w:widowControl w:val="0"/>
    </w:pPr>
    <w:rPr>
      <w:snapToGrid w:val="0"/>
      <w:color w:val="000000"/>
      <w:sz w:val="24"/>
    </w:rPr>
  </w:style>
  <w:style w:type="paragraph" w:styleId="Footer">
    <w:name w:val="footer"/>
    <w:basedOn w:val="Normal"/>
    <w:semiHidden/>
    <w:pPr>
      <w:widowControl w:val="0"/>
    </w:pPr>
    <w:rPr>
      <w:snapToGrid w:val="0"/>
      <w:color w:val="000000"/>
      <w:sz w:val="24"/>
    </w:rPr>
  </w:style>
  <w:style w:type="paragraph" w:styleId="NormalIndent">
    <w:name w:val="Normal Indent"/>
    <w:basedOn w:val="Normal"/>
    <w:semiHidden/>
    <w:pPr>
      <w:ind w:left="720"/>
    </w:pPr>
  </w:style>
  <w:style w:type="paragraph" w:customStyle="1" w:styleId="TableText">
    <w:name w:val="Table Text"/>
    <w:rPr>
      <w:snapToGrid w:val="0"/>
      <w:color w:val="000000"/>
      <w:sz w:val="24"/>
    </w:rPr>
  </w:style>
  <w:style w:type="character" w:customStyle="1" w:styleId="Heading1Char">
    <w:name w:val="Heading 1 Char"/>
    <w:link w:val="Heading1"/>
    <w:uiPriority w:val="9"/>
    <w:rsid w:val="00144696"/>
    <w:rPr>
      <w:rFonts w:ascii="Arial" w:hAnsi="Arial"/>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Emergency Provisions and Incident Management</JSP_Title>
    <JSP_Author xmlns="00ca3444-dc36-48d0-8ed3-fecfe750809b">Brian A. Haeffner</JSP_Author>
    <ShortName xmlns="00ca3444-dc36-48d0-8ed3-fecfe750809b">EMER</ShortName>
    <JSP_Section xmlns="00ca3444-dc36-48d0-8ed3-fecfe750809b">0107 - Legal Relations and Responsibility to the Public</JSP_Section>
    <Frequently_x0020_Used xmlns="00ca3444-dc36-48d0-8ed3-fecfe750809b">true</Frequently_x0020_Used>
    <First_Effective_Bid_Opening_Date xmlns="00ca3444-dc36-48d0-8ed3-fecfe750809b">04/17/2020</First_Effective_Bid_Opening_Date>
    <Explanatory_Notes xmlns="00ca3444-dc36-48d0-8ed3-fecfe750809b">This provision is required on all projects and provides contact information for the local law enforcement and fire departments.</Explanatory_Notes>
    <JSP_Type xmlns="00ca3444-dc36-48d0-8ed3-fecfe750809b">Provision</JSP_Type>
    <Revision_Date xmlns="00ca3444-dc36-48d0-8ed3-fecfe750809b">2018-04-19T05:00:00+00:00</Revision_Date>
    <JSP_ID_Num xmlns="00ca3444-dc36-48d0-8ed3-fecfe750809b">JSP-90-11A</JSP_ID_Num>
    <ExplanatoryNotes xmlns="00ca3444-dc36-48d0-8ed3-fecfe750809b">4/19/18 - Applied format changes to the table.
This JSP is required on all project and provides contact inform for the local law enforcement and fire departments.
02/19/20- Changed all references to police and enforcement to law enforcement. </ExplanatoryNotes>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CF72F457-CEA1-4EE3-8D01-A4066F1BA139}">
  <ds:schemaRefs>
    <ds:schemaRef ds:uri="http://schemas.microsoft.com/office/2006/metadata/longProperties"/>
  </ds:schemaRefs>
</ds:datastoreItem>
</file>

<file path=customXml/itemProps2.xml><?xml version="1.0" encoding="utf-8"?>
<ds:datastoreItem xmlns:ds="http://schemas.openxmlformats.org/officeDocument/2006/customXml" ds:itemID="{5A8F8DA4-9940-471C-8B19-524761591CF4}">
  <ds:schemaRefs>
    <ds:schemaRef ds:uri="http://schemas.microsoft.com/office/2006/metadata/customXsn"/>
  </ds:schemaRefs>
</ds:datastoreItem>
</file>

<file path=customXml/itemProps3.xml><?xml version="1.0" encoding="utf-8"?>
<ds:datastoreItem xmlns:ds="http://schemas.openxmlformats.org/officeDocument/2006/customXml" ds:itemID="{3471DC27-91DA-44BD-8CCA-EAC3B37CCC0E}"/>
</file>

<file path=customXml/itemProps4.xml><?xml version="1.0" encoding="utf-8"?>
<ds:datastoreItem xmlns:ds="http://schemas.openxmlformats.org/officeDocument/2006/customXml" ds:itemID="{A2802DE6-2C41-44D2-A72F-5E0F33068A68}">
  <ds:schemaRefs>
    <ds:schemaRef ds:uri="http://schemas.microsoft.com/sharepoint/v3/contenttype/forms"/>
  </ds:schemaRefs>
</ds:datastoreItem>
</file>

<file path=customXml/itemProps5.xml><?xml version="1.0" encoding="utf-8"?>
<ds:datastoreItem xmlns:ds="http://schemas.openxmlformats.org/officeDocument/2006/customXml" ds:itemID="{45E993A0-D952-4A9F-AA60-466FCACCD62B}">
  <ds:schemaRefs>
    <ds:schemaRef ds:uri="http://schemas.microsoft.com/office/infopath/2007/PartnerControls"/>
    <ds:schemaRef ds:uri="http://schemas.microsoft.com/office/2006/documentManagement/types"/>
    <ds:schemaRef ds:uri="00ca3444-dc36-48d0-8ed3-fecfe750809b"/>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Emergency Provisions and Incident Management</vt:lpstr>
    </vt:vector>
  </TitlesOfParts>
  <Company>MoDOT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Provisions and Incident Management</dc:title>
  <dc:subject/>
  <dc:creator>forsya</dc:creator>
  <cp:keywords/>
  <dc:description/>
  <cp:lastModifiedBy>Jen Haller</cp:lastModifiedBy>
  <cp:revision>2</cp:revision>
  <cp:lastPrinted>2000-01-03T15:27:00Z</cp:lastPrinted>
  <dcterms:created xsi:type="dcterms:W3CDTF">2023-02-06T19:47:00Z</dcterms:created>
  <dcterms:modified xsi:type="dcterms:W3CDTF">2023-02-06T19:47:00Z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CDDEEE8FEFFECC948625736B004AB5B4</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Last_Effective_Bid_Opening_Date">
    <vt:lpwstr/>
  </property>
  <property fmtid="{D5CDD505-2E9C-101B-9397-08002B2CF9AE}" pid="8" name="Last_Modified0">
    <vt:lpwstr/>
  </property>
  <property fmtid="{D5CDD505-2E9C-101B-9397-08002B2CF9AE}" pid="9" name="JSP_Title0">
    <vt:lpwstr/>
  </property>
  <property fmtid="{D5CDD505-2E9C-101B-9397-08002B2CF9AE}" pid="10" name="FileAttach0">
    <vt:lpwstr/>
  </property>
  <property fmtid="{D5CDD505-2E9C-101B-9397-08002B2CF9AE}" pid="11" name="Accountable_Division0">
    <vt:lpwstr/>
  </property>
  <property fmtid="{D5CDD505-2E9C-101B-9397-08002B2CF9AE}" pid="12" name="Active/Inactive0">
    <vt:lpwstr>Active</vt:lpwstr>
  </property>
  <property fmtid="{D5CDD505-2E9C-101B-9397-08002B2CF9AE}" pid="13" name="NotesID0">
    <vt:lpwstr/>
  </property>
  <property fmtid="{D5CDD505-2E9C-101B-9397-08002B2CF9AE}" pid="14" name="Draft0">
    <vt:lpwstr/>
  </property>
  <property fmtid="{D5CDD505-2E9C-101B-9397-08002B2CF9AE}" pid="15" name="ShortName0">
    <vt:lpwstr/>
  </property>
  <property fmtid="{D5CDD505-2E9C-101B-9397-08002B2CF9AE}" pid="16" name="ExplanatoryNotes0">
    <vt:lpwstr/>
  </property>
  <property fmtid="{D5CDD505-2E9C-101B-9397-08002B2CF9AE}" pid="17" name="Explanatory_Notes0">
    <vt:lpwstr/>
  </property>
  <property fmtid="{D5CDD505-2E9C-101B-9397-08002B2CF9AE}" pid="18" name="Units0">
    <vt:lpwstr/>
  </property>
  <property fmtid="{D5CDD505-2E9C-101B-9397-08002B2CF9AE}" pid="19" name="JSP_Section0">
    <vt:lpwstr/>
  </property>
  <property fmtid="{D5CDD505-2E9C-101B-9397-08002B2CF9AE}" pid="20" name="Frequently Used0">
    <vt:lpwstr>0</vt:lpwstr>
  </property>
  <property fmtid="{D5CDD505-2E9C-101B-9397-08002B2CF9AE}" pid="21" name="Revision Request Number">
    <vt:lpwstr/>
  </property>
  <property fmtid="{D5CDD505-2E9C-101B-9397-08002B2CF9AE}" pid="22" name="First_Effective_Bid_Opening_Date0">
    <vt:lpwstr/>
  </property>
  <property fmtid="{D5CDD505-2E9C-101B-9397-08002B2CF9AE}" pid="23" name="JSP_Type0">
    <vt:lpwstr>Standard</vt:lpwstr>
  </property>
  <property fmtid="{D5CDD505-2E9C-101B-9397-08002B2CF9AE}" pid="24" name="Current Version">
    <vt:lpwstr>JSP-90-11A</vt:lpwstr>
  </property>
  <property fmtid="{D5CDD505-2E9C-101B-9397-08002B2CF9AE}" pid="25" name="Revision_Date0">
    <vt:lpwstr/>
  </property>
  <property fmtid="{D5CDD505-2E9C-101B-9397-08002B2CF9AE}" pid="26" name="JSP_Author0">
    <vt:lpwstr/>
  </property>
  <property fmtid="{D5CDD505-2E9C-101B-9397-08002B2CF9AE}" pid="27" name="ContentTypeId">
    <vt:lpwstr>0x010100F84DEB81849E344AA4D2093FC6E95592</vt:lpwstr>
  </property>
  <property fmtid="{D5CDD505-2E9C-101B-9397-08002B2CF9AE}" pid="28" name="display_urn:schemas-microsoft-com:office:office#Editor">
    <vt:lpwstr>Tim Oligschlaeger</vt:lpwstr>
  </property>
  <property fmtid="{D5CDD505-2E9C-101B-9397-08002B2CF9AE}" pid="29" name="Order">
    <vt:lpwstr>38700.0000000000</vt:lpwstr>
  </property>
  <property fmtid="{D5CDD505-2E9C-101B-9397-08002B2CF9AE}" pid="30" name="display_urn:schemas-microsoft-com:office:office#Author">
    <vt:lpwstr>devon l. christensen</vt:lpwstr>
  </property>
  <property fmtid="{D5CDD505-2E9C-101B-9397-08002B2CF9AE}" pid="31" name="Last_Modified">
    <vt:lpwstr>04/19/18</vt:lpwstr>
  </property>
</Properties>
</file>