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70C9" w14:textId="336F95CA" w:rsidR="00770BFC" w:rsidRPr="00D84BA9" w:rsidRDefault="00D84BA9" w:rsidP="00D84BA9">
      <w:pPr>
        <w:pStyle w:val="Heading1"/>
      </w:pPr>
      <w:r>
        <w:t>Pavement Smoothness f</w:t>
      </w:r>
      <w:r w:rsidRPr="00D84BA9">
        <w:t>or U</w:t>
      </w:r>
      <w:r w:rsidR="00470CA9" w:rsidRPr="00D84BA9">
        <w:t>BAWS</w:t>
      </w:r>
      <w:r w:rsidR="00D46860" w:rsidRPr="00D84BA9">
        <w:rPr>
          <w:u w:val="none"/>
        </w:rPr>
        <w:t xml:space="preserve"> NJSP-17-05</w:t>
      </w:r>
    </w:p>
    <w:p w14:paraId="04D070CA"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u w:val="single"/>
        </w:rPr>
      </w:pPr>
    </w:p>
    <w:p w14:paraId="04D070CB"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roofErr w:type="gramStart"/>
      <w:r w:rsidRPr="00770BFC">
        <w:rPr>
          <w:b/>
          <w:snapToGrid w:val="0"/>
          <w:color w:val="000000"/>
        </w:rPr>
        <w:t>1.0  Description</w:t>
      </w:r>
      <w:proofErr w:type="gramEnd"/>
      <w:r w:rsidRPr="00770BFC">
        <w:rPr>
          <w:b/>
          <w:snapToGrid w:val="0"/>
          <w:color w:val="000000"/>
        </w:rPr>
        <w:t>.</w:t>
      </w:r>
      <w:r w:rsidRPr="00770BFC">
        <w:rPr>
          <w:snapToGrid w:val="0"/>
          <w:color w:val="000000"/>
        </w:rPr>
        <w:t xml:space="preserve">  Pavement smoothness shall be in accordance with Sec 610 except as modified in this provision.  This provision adds Section 413.30 UBAWS mix type to the pavement smoothness requireme</w:t>
      </w:r>
      <w:bookmarkStart w:id="0" w:name="_GoBack"/>
      <w:bookmarkEnd w:id="0"/>
      <w:r w:rsidRPr="00770BFC">
        <w:rPr>
          <w:snapToGrid w:val="0"/>
          <w:color w:val="000000"/>
        </w:rPr>
        <w:t>nt.</w:t>
      </w:r>
    </w:p>
    <w:p w14:paraId="04D070CC"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color w:val="000000"/>
        </w:rPr>
      </w:pPr>
    </w:p>
    <w:p w14:paraId="04D070CD"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snapToGrid w:val="0"/>
          <w:color w:val="000000"/>
        </w:rPr>
      </w:pPr>
      <w:proofErr w:type="gramStart"/>
      <w:r w:rsidRPr="00770BFC">
        <w:rPr>
          <w:b/>
          <w:snapToGrid w:val="0"/>
          <w:color w:val="000000"/>
        </w:rPr>
        <w:t xml:space="preserve">2.0  </w:t>
      </w:r>
      <w:r w:rsidRPr="00770BFC">
        <w:rPr>
          <w:snapToGrid w:val="0"/>
          <w:color w:val="000000"/>
        </w:rPr>
        <w:t>Delete</w:t>
      </w:r>
      <w:proofErr w:type="gramEnd"/>
      <w:r w:rsidRPr="00770BFC">
        <w:rPr>
          <w:snapToGrid w:val="0"/>
          <w:color w:val="000000"/>
        </w:rPr>
        <w:t xml:space="preserve"> Sec 610.1 and insert the following:</w:t>
      </w:r>
    </w:p>
    <w:p w14:paraId="04D070CE"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snapToGrid w:val="0"/>
          <w:color w:val="000000"/>
        </w:rPr>
      </w:pPr>
    </w:p>
    <w:p w14:paraId="04D070CF"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jc w:val="both"/>
        <w:rPr>
          <w:rFonts w:cs="Arial"/>
          <w:snapToGrid w:val="0"/>
          <w:color w:val="000000"/>
          <w:szCs w:val="22"/>
        </w:rPr>
      </w:pPr>
      <w:r w:rsidRPr="00770BFC">
        <w:rPr>
          <w:rFonts w:cs="Arial"/>
          <w:b/>
          <w:snapToGrid w:val="0"/>
          <w:color w:val="000000"/>
          <w:szCs w:val="22"/>
        </w:rPr>
        <w:t>610.1</w:t>
      </w:r>
      <w:r w:rsidRPr="00770BFC">
        <w:rPr>
          <w:rFonts w:cs="Arial"/>
          <w:b/>
          <w:snapToGrid w:val="0"/>
          <w:color w:val="000000"/>
          <w:szCs w:val="22"/>
        </w:rPr>
        <w:tab/>
        <w:t>Description.</w:t>
      </w:r>
      <w:r w:rsidRPr="00770BFC">
        <w:rPr>
          <w:rFonts w:cs="Arial"/>
          <w:snapToGrid w:val="0"/>
          <w:color w:val="000000"/>
          <w:szCs w:val="22"/>
        </w:rPr>
        <w:t xml:space="preserve">  This work shall consist of measuring the smoothness of the final pavement surface.  Smoothness shall be measured using the International Roughness Index (IRI).  The following pavement types shall comply with this specification:</w:t>
      </w:r>
    </w:p>
    <w:p w14:paraId="04D070D0"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jc w:val="both"/>
        <w:rPr>
          <w:rFonts w:cs="Arial"/>
          <w:snapToGrid w:val="0"/>
          <w:color w:val="000000"/>
          <w:szCs w:val="22"/>
        </w:rPr>
      </w:pPr>
    </w:p>
    <w:p w14:paraId="04D070D1" w14:textId="77777777" w:rsidR="00770BFC" w:rsidRPr="00770BFC" w:rsidRDefault="00770BFC" w:rsidP="00770BFC">
      <w:pPr>
        <w:numPr>
          <w:ilvl w:val="0"/>
          <w:numId w:val="2"/>
        </w:numPr>
        <w:tabs>
          <w:tab w:val="left" w:pos="720"/>
          <w:tab w:val="left" w:pos="1440"/>
          <w:tab w:val="left" w:pos="2160"/>
          <w:tab w:val="left" w:pos="2880"/>
          <w:tab w:val="left" w:pos="3600"/>
          <w:tab w:val="left" w:pos="4320"/>
          <w:tab w:val="left" w:pos="5040"/>
          <w:tab w:val="left" w:pos="5760"/>
          <w:tab w:val="left" w:pos="6480"/>
        </w:tabs>
        <w:contextualSpacing/>
        <w:jc w:val="both"/>
        <w:rPr>
          <w:rFonts w:cs="Arial"/>
          <w:snapToGrid w:val="0"/>
          <w:color w:val="000000"/>
          <w:szCs w:val="22"/>
        </w:rPr>
      </w:pPr>
      <w:r w:rsidRPr="00770BFC">
        <w:rPr>
          <w:rFonts w:cs="Arial"/>
          <w:snapToGrid w:val="0"/>
          <w:color w:val="000000"/>
          <w:szCs w:val="22"/>
        </w:rPr>
        <w:t>Multi-lift asphalt construction contained in Sections 401, 403, and</w:t>
      </w:r>
      <w:r w:rsidRPr="00770BFC">
        <w:rPr>
          <w:rFonts w:cs="Arial"/>
          <w:b/>
          <w:snapToGrid w:val="0"/>
          <w:color w:val="000000"/>
          <w:szCs w:val="22"/>
        </w:rPr>
        <w:t xml:space="preserve"> 413.30, including any combination of these mix types.</w:t>
      </w:r>
    </w:p>
    <w:p w14:paraId="04D070D2" w14:textId="77777777" w:rsidR="00770BFC" w:rsidRPr="00770BFC" w:rsidRDefault="00770BFC" w:rsidP="00770BFC">
      <w:pPr>
        <w:numPr>
          <w:ilvl w:val="0"/>
          <w:numId w:val="2"/>
        </w:numPr>
        <w:tabs>
          <w:tab w:val="left" w:pos="720"/>
          <w:tab w:val="left" w:pos="1440"/>
          <w:tab w:val="left" w:pos="2160"/>
          <w:tab w:val="left" w:pos="2880"/>
          <w:tab w:val="left" w:pos="3600"/>
          <w:tab w:val="left" w:pos="4320"/>
          <w:tab w:val="left" w:pos="5040"/>
          <w:tab w:val="left" w:pos="5760"/>
          <w:tab w:val="left" w:pos="6480"/>
        </w:tabs>
        <w:contextualSpacing/>
        <w:jc w:val="both"/>
        <w:rPr>
          <w:rFonts w:cs="Arial"/>
          <w:snapToGrid w:val="0"/>
          <w:color w:val="000000"/>
          <w:szCs w:val="22"/>
        </w:rPr>
      </w:pPr>
      <w:r w:rsidRPr="00770BFC">
        <w:rPr>
          <w:rFonts w:cs="Arial"/>
          <w:snapToGrid w:val="0"/>
          <w:color w:val="000000"/>
          <w:szCs w:val="22"/>
        </w:rPr>
        <w:t>Concrete pavement construction contained in Sections 502 and 506.</w:t>
      </w:r>
    </w:p>
    <w:p w14:paraId="04D070D3" w14:textId="77777777" w:rsidR="00770BFC" w:rsidRPr="00770BFC" w:rsidRDefault="00770BFC" w:rsidP="00770BFC">
      <w:pPr>
        <w:numPr>
          <w:ilvl w:val="0"/>
          <w:numId w:val="2"/>
        </w:numPr>
        <w:tabs>
          <w:tab w:val="left" w:pos="720"/>
          <w:tab w:val="left" w:pos="1440"/>
          <w:tab w:val="left" w:pos="2160"/>
          <w:tab w:val="left" w:pos="2880"/>
          <w:tab w:val="left" w:pos="3600"/>
          <w:tab w:val="left" w:pos="4320"/>
          <w:tab w:val="left" w:pos="5040"/>
          <w:tab w:val="left" w:pos="5760"/>
          <w:tab w:val="left" w:pos="6480"/>
        </w:tabs>
        <w:contextualSpacing/>
        <w:jc w:val="both"/>
        <w:rPr>
          <w:rFonts w:cs="Arial"/>
          <w:snapToGrid w:val="0"/>
          <w:color w:val="000000"/>
          <w:szCs w:val="22"/>
        </w:rPr>
      </w:pPr>
      <w:r w:rsidRPr="00770BFC">
        <w:rPr>
          <w:rFonts w:cs="Arial"/>
          <w:snapToGrid w:val="0"/>
          <w:color w:val="000000"/>
          <w:szCs w:val="22"/>
        </w:rPr>
        <w:t xml:space="preserve">Combination of surface </w:t>
      </w:r>
      <w:proofErr w:type="spellStart"/>
      <w:r w:rsidRPr="00770BFC">
        <w:rPr>
          <w:rFonts w:cs="Arial"/>
          <w:snapToGrid w:val="0"/>
          <w:color w:val="000000"/>
          <w:szCs w:val="22"/>
        </w:rPr>
        <w:t>planing</w:t>
      </w:r>
      <w:proofErr w:type="spellEnd"/>
      <w:r w:rsidRPr="00770BFC">
        <w:rPr>
          <w:rFonts w:cs="Arial"/>
          <w:snapToGrid w:val="0"/>
          <w:color w:val="000000"/>
          <w:szCs w:val="22"/>
        </w:rPr>
        <w:t xml:space="preserve">, such as diamond grinding or milling, and single lift asphalt construction contained in Sections 401, 403, and </w:t>
      </w:r>
      <w:r w:rsidRPr="00770BFC">
        <w:rPr>
          <w:rFonts w:cs="Arial"/>
          <w:b/>
          <w:snapToGrid w:val="0"/>
          <w:color w:val="000000"/>
          <w:szCs w:val="22"/>
        </w:rPr>
        <w:t>413.30, including any combination of these mix types</w:t>
      </w:r>
      <w:r w:rsidRPr="00770BFC">
        <w:rPr>
          <w:rFonts w:cs="Arial"/>
          <w:snapToGrid w:val="0"/>
          <w:color w:val="000000"/>
          <w:szCs w:val="22"/>
        </w:rPr>
        <w:t>.</w:t>
      </w:r>
    </w:p>
    <w:p w14:paraId="04D070D4" w14:textId="77777777" w:rsidR="00770BFC" w:rsidRPr="00770BFC" w:rsidRDefault="00770BFC" w:rsidP="00770BFC">
      <w:pPr>
        <w:numPr>
          <w:ilvl w:val="0"/>
          <w:numId w:val="2"/>
        </w:numPr>
        <w:tabs>
          <w:tab w:val="left" w:pos="720"/>
          <w:tab w:val="left" w:pos="1440"/>
          <w:tab w:val="left" w:pos="2160"/>
          <w:tab w:val="left" w:pos="2880"/>
          <w:tab w:val="left" w:pos="3600"/>
          <w:tab w:val="left" w:pos="4320"/>
          <w:tab w:val="left" w:pos="5040"/>
          <w:tab w:val="left" w:pos="5760"/>
          <w:tab w:val="left" w:pos="6480"/>
        </w:tabs>
        <w:contextualSpacing/>
        <w:jc w:val="both"/>
        <w:rPr>
          <w:rFonts w:cs="Arial"/>
          <w:snapToGrid w:val="0"/>
          <w:color w:val="000000"/>
          <w:szCs w:val="22"/>
        </w:rPr>
      </w:pPr>
      <w:r w:rsidRPr="00770BFC">
        <w:rPr>
          <w:rFonts w:cs="Arial"/>
          <w:snapToGrid w:val="0"/>
          <w:color w:val="000000"/>
          <w:szCs w:val="22"/>
        </w:rPr>
        <w:t>Single lift asphalt construction contained in sections 401, and 403.</w:t>
      </w:r>
    </w:p>
    <w:p w14:paraId="04D070D5" w14:textId="77777777" w:rsidR="00770BFC" w:rsidRPr="00770BFC" w:rsidRDefault="00770BFC" w:rsidP="00770BFC">
      <w:pPr>
        <w:numPr>
          <w:ilvl w:val="0"/>
          <w:numId w:val="2"/>
        </w:numPr>
        <w:tabs>
          <w:tab w:val="left" w:pos="720"/>
          <w:tab w:val="left" w:pos="1440"/>
          <w:tab w:val="left" w:pos="2160"/>
          <w:tab w:val="left" w:pos="2880"/>
          <w:tab w:val="left" w:pos="3600"/>
          <w:tab w:val="left" w:pos="4320"/>
          <w:tab w:val="left" w:pos="5040"/>
          <w:tab w:val="left" w:pos="5760"/>
          <w:tab w:val="left" w:pos="6480"/>
        </w:tabs>
        <w:contextualSpacing/>
        <w:jc w:val="both"/>
        <w:rPr>
          <w:rFonts w:cs="Arial"/>
          <w:snapToGrid w:val="0"/>
          <w:color w:val="000000"/>
          <w:szCs w:val="22"/>
        </w:rPr>
      </w:pPr>
      <w:r w:rsidRPr="00770BFC">
        <w:rPr>
          <w:rFonts w:cs="Arial"/>
          <w:b/>
          <w:snapToGrid w:val="0"/>
          <w:color w:val="000000"/>
          <w:szCs w:val="22"/>
        </w:rPr>
        <w:t>Single lift asphalt construction contained in section 413.30</w:t>
      </w:r>
      <w:r w:rsidRPr="00770BFC">
        <w:rPr>
          <w:rFonts w:cs="Arial"/>
          <w:snapToGrid w:val="0"/>
          <w:color w:val="000000"/>
          <w:szCs w:val="22"/>
        </w:rPr>
        <w:t>.</w:t>
      </w:r>
    </w:p>
    <w:p w14:paraId="04D070D6"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b/>
          <w:snapToGrid w:val="0"/>
          <w:color w:val="000000"/>
        </w:rPr>
      </w:pPr>
    </w:p>
    <w:p w14:paraId="04D070D7"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proofErr w:type="gramStart"/>
      <w:r w:rsidRPr="00770BFC">
        <w:rPr>
          <w:rFonts w:cs="Arial"/>
          <w:b/>
          <w:szCs w:val="22"/>
        </w:rPr>
        <w:t xml:space="preserve">3.0  </w:t>
      </w:r>
      <w:r w:rsidRPr="00770BFC">
        <w:rPr>
          <w:rFonts w:cs="Arial"/>
          <w:szCs w:val="22"/>
        </w:rPr>
        <w:t>Add</w:t>
      </w:r>
      <w:proofErr w:type="gramEnd"/>
      <w:r w:rsidRPr="00770BFC">
        <w:rPr>
          <w:rFonts w:cs="Arial"/>
          <w:szCs w:val="22"/>
        </w:rPr>
        <w:t xml:space="preserve"> section 610.5.2.2</w:t>
      </w:r>
    </w:p>
    <w:p w14:paraId="04D070D8"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p>
    <w:p w14:paraId="04D070D9"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proofErr w:type="gramStart"/>
      <w:r w:rsidRPr="00770BFC">
        <w:rPr>
          <w:rFonts w:cs="Arial"/>
          <w:b/>
          <w:szCs w:val="22"/>
        </w:rPr>
        <w:t>610.5.2.2</w:t>
      </w:r>
      <w:r w:rsidRPr="00770BFC">
        <w:rPr>
          <w:rFonts w:cs="Arial"/>
          <w:szCs w:val="22"/>
        </w:rPr>
        <w:t xml:space="preserve">  The</w:t>
      </w:r>
      <w:proofErr w:type="gramEnd"/>
      <w:r w:rsidRPr="00770BFC">
        <w:rPr>
          <w:rFonts w:cs="Arial"/>
          <w:szCs w:val="22"/>
        </w:rPr>
        <w:t xml:space="preserve"> contract price for resurfacing pavement types described in Section 610.1 (e) will be adjusted based on the improvement in profile index according to Table 4 for each segment with an initial IRI greater than 60 inches per mile. </w:t>
      </w:r>
    </w:p>
    <w:p w14:paraId="04D070DA"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p>
    <w:p w14:paraId="04D070DB"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r w:rsidRPr="00770BFC">
        <w:rPr>
          <w:rFonts w:cs="Arial"/>
          <w:szCs w:val="22"/>
        </w:rPr>
        <w:t xml:space="preserve">Any segment with an initial IRI less than or equal to 60 inches per mile shall receive no percent improvement price adjustment if the segment IRI after placement of the overlay is also less than or equal to 60 inches per mile. </w:t>
      </w:r>
    </w:p>
    <w:p w14:paraId="04D070DC"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p>
    <w:p w14:paraId="04D070DD"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jc w:val="both"/>
        <w:rPr>
          <w:rFonts w:cs="Arial"/>
          <w:szCs w:val="22"/>
        </w:rPr>
      </w:pPr>
      <w:r w:rsidRPr="00770BFC">
        <w:rPr>
          <w:rFonts w:cs="Arial"/>
          <w:szCs w:val="22"/>
        </w:rPr>
        <w:t xml:space="preserve">Any segment with an initial IRI less than or equal to 60 inches per mile that has an IRI greater than 60 inches per mile after placement of the overlay shall be paid at 97 percent of the contract </w:t>
      </w:r>
      <w:proofErr w:type="gramStart"/>
      <w:r w:rsidRPr="00770BFC">
        <w:rPr>
          <w:rFonts w:cs="Arial"/>
          <w:szCs w:val="22"/>
        </w:rPr>
        <w:t>unit</w:t>
      </w:r>
      <w:proofErr w:type="gramEnd"/>
      <w:r w:rsidRPr="00770BFC">
        <w:rPr>
          <w:rFonts w:cs="Arial"/>
          <w:szCs w:val="22"/>
        </w:rPr>
        <w:t xml:space="preserve"> price for pavement.</w:t>
      </w:r>
    </w:p>
    <w:p w14:paraId="04D070DE" w14:textId="77777777" w:rsidR="00770BFC" w:rsidRPr="00770BFC" w:rsidRDefault="00770BFC" w:rsidP="00770B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540" w:hanging="540"/>
        <w:jc w:val="both"/>
        <w:rPr>
          <w:rFonts w:cs="Arial"/>
          <w:szCs w:val="22"/>
        </w:rPr>
      </w:pPr>
    </w:p>
    <w:tbl>
      <w:tblPr>
        <w:tblW w:w="0" w:type="auto"/>
        <w:jc w:val="center"/>
        <w:tblLayout w:type="fixed"/>
        <w:tblCellMar>
          <w:left w:w="43" w:type="dxa"/>
          <w:right w:w="43" w:type="dxa"/>
        </w:tblCellMar>
        <w:tblLook w:val="0000" w:firstRow="0" w:lastRow="0" w:firstColumn="0" w:lastColumn="0" w:noHBand="0" w:noVBand="0"/>
      </w:tblPr>
      <w:tblGrid>
        <w:gridCol w:w="3817"/>
        <w:gridCol w:w="4681"/>
      </w:tblGrid>
      <w:tr w:rsidR="00770BFC" w:rsidRPr="00770BFC" w14:paraId="04D070E0" w14:textId="77777777" w:rsidTr="00F14902">
        <w:trPr>
          <w:trHeight w:val="345"/>
          <w:jc w:val="center"/>
        </w:trPr>
        <w:tc>
          <w:tcPr>
            <w:tcW w:w="8498" w:type="dxa"/>
            <w:gridSpan w:val="2"/>
            <w:tcBorders>
              <w:top w:val="single" w:sz="6" w:space="0" w:color="auto"/>
              <w:left w:val="single" w:sz="6" w:space="0" w:color="auto"/>
              <w:bottom w:val="single" w:sz="6" w:space="0" w:color="auto"/>
              <w:right w:val="single" w:sz="6" w:space="0" w:color="auto"/>
            </w:tcBorders>
            <w:vAlign w:val="center"/>
          </w:tcPr>
          <w:p w14:paraId="04D070DF"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b/>
                <w:szCs w:val="22"/>
              </w:rPr>
            </w:pPr>
            <w:r w:rsidRPr="00770BFC">
              <w:rPr>
                <w:rFonts w:cs="Arial"/>
                <w:b/>
                <w:szCs w:val="22"/>
              </w:rPr>
              <w:t>Table 4</w:t>
            </w:r>
          </w:p>
        </w:tc>
      </w:tr>
      <w:tr w:rsidR="00770BFC" w:rsidRPr="00770BFC" w14:paraId="04D070E5" w14:textId="77777777" w:rsidTr="00F14902">
        <w:trPr>
          <w:trHeight w:val="525"/>
          <w:jc w:val="center"/>
        </w:trPr>
        <w:tc>
          <w:tcPr>
            <w:tcW w:w="3817" w:type="dxa"/>
            <w:tcBorders>
              <w:top w:val="single" w:sz="6" w:space="0" w:color="auto"/>
              <w:left w:val="single" w:sz="6" w:space="0" w:color="auto"/>
              <w:bottom w:val="single" w:sz="6" w:space="0" w:color="auto"/>
              <w:right w:val="single" w:sz="6" w:space="0" w:color="auto"/>
            </w:tcBorders>
            <w:vAlign w:val="center"/>
          </w:tcPr>
          <w:p w14:paraId="04D070E1"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b/>
                <w:szCs w:val="22"/>
              </w:rPr>
            </w:pPr>
            <w:r w:rsidRPr="00770BFC">
              <w:rPr>
                <w:rFonts w:cs="Arial"/>
                <w:b/>
                <w:szCs w:val="22"/>
              </w:rPr>
              <w:t>Percent Improvement</w:t>
            </w:r>
          </w:p>
          <w:p w14:paraId="04D070E2"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b/>
                <w:szCs w:val="22"/>
              </w:rPr>
              <w:t>(Change in IRI / Initial IRI) X 100</w:t>
            </w:r>
          </w:p>
        </w:tc>
        <w:tc>
          <w:tcPr>
            <w:tcW w:w="4681" w:type="dxa"/>
            <w:tcBorders>
              <w:top w:val="single" w:sz="6" w:space="0" w:color="auto"/>
              <w:left w:val="single" w:sz="6" w:space="0" w:color="auto"/>
              <w:bottom w:val="single" w:sz="6" w:space="0" w:color="auto"/>
              <w:right w:val="single" w:sz="6" w:space="0" w:color="auto"/>
            </w:tcBorders>
            <w:vAlign w:val="center"/>
          </w:tcPr>
          <w:p w14:paraId="04D070E3"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b/>
                <w:szCs w:val="22"/>
              </w:rPr>
            </w:pPr>
            <w:r w:rsidRPr="00770BFC">
              <w:rPr>
                <w:rFonts w:cs="Arial"/>
                <w:b/>
                <w:szCs w:val="22"/>
              </w:rPr>
              <w:t>Percent of Contract Unit Price</w:t>
            </w:r>
          </w:p>
          <w:p w14:paraId="04D070E4"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b/>
                <w:szCs w:val="22"/>
              </w:rPr>
              <w:t>For Pavement</w:t>
            </w:r>
          </w:p>
        </w:tc>
      </w:tr>
      <w:tr w:rsidR="00770BFC" w:rsidRPr="00770BFC" w14:paraId="04D070E8" w14:textId="77777777" w:rsidTr="00F14902">
        <w:trPr>
          <w:jc w:val="center"/>
        </w:trPr>
        <w:tc>
          <w:tcPr>
            <w:tcW w:w="3817" w:type="dxa"/>
            <w:tcBorders>
              <w:top w:val="single" w:sz="6" w:space="0" w:color="auto"/>
              <w:left w:val="single" w:sz="6" w:space="0" w:color="auto"/>
              <w:bottom w:val="single" w:sz="6" w:space="0" w:color="auto"/>
              <w:right w:val="single" w:sz="6" w:space="0" w:color="auto"/>
            </w:tcBorders>
            <w:vAlign w:val="center"/>
          </w:tcPr>
          <w:p w14:paraId="04D070E6"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szCs w:val="22"/>
              </w:rPr>
              <w:t>20.0 or greater</w:t>
            </w:r>
          </w:p>
        </w:tc>
        <w:tc>
          <w:tcPr>
            <w:tcW w:w="4681" w:type="dxa"/>
            <w:tcBorders>
              <w:top w:val="single" w:sz="6" w:space="0" w:color="auto"/>
              <w:left w:val="single" w:sz="6" w:space="0" w:color="auto"/>
              <w:bottom w:val="single" w:sz="6" w:space="0" w:color="auto"/>
              <w:right w:val="single" w:sz="6" w:space="0" w:color="auto"/>
            </w:tcBorders>
            <w:vAlign w:val="center"/>
          </w:tcPr>
          <w:p w14:paraId="04D070E7"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szCs w:val="22"/>
              </w:rPr>
              <w:t>103</w:t>
            </w:r>
          </w:p>
        </w:tc>
      </w:tr>
      <w:tr w:rsidR="00770BFC" w:rsidRPr="00770BFC" w14:paraId="04D070EB" w14:textId="77777777" w:rsidTr="00F14902">
        <w:trPr>
          <w:jc w:val="center"/>
        </w:trPr>
        <w:tc>
          <w:tcPr>
            <w:tcW w:w="3817" w:type="dxa"/>
            <w:tcBorders>
              <w:top w:val="single" w:sz="6" w:space="0" w:color="auto"/>
              <w:left w:val="single" w:sz="6" w:space="0" w:color="auto"/>
              <w:bottom w:val="single" w:sz="6" w:space="0" w:color="auto"/>
              <w:right w:val="single" w:sz="6" w:space="0" w:color="auto"/>
            </w:tcBorders>
            <w:vAlign w:val="center"/>
          </w:tcPr>
          <w:p w14:paraId="04D070E9"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szCs w:val="22"/>
              </w:rPr>
              <w:t>5.0 to 19.9</w:t>
            </w:r>
          </w:p>
        </w:tc>
        <w:tc>
          <w:tcPr>
            <w:tcW w:w="4681" w:type="dxa"/>
            <w:tcBorders>
              <w:top w:val="single" w:sz="6" w:space="0" w:color="auto"/>
              <w:left w:val="single" w:sz="6" w:space="0" w:color="auto"/>
              <w:bottom w:val="single" w:sz="6" w:space="0" w:color="auto"/>
              <w:right w:val="single" w:sz="6" w:space="0" w:color="auto"/>
            </w:tcBorders>
            <w:vAlign w:val="center"/>
          </w:tcPr>
          <w:p w14:paraId="04D070EA"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szCs w:val="22"/>
              </w:rPr>
              <w:t>100</w:t>
            </w:r>
          </w:p>
        </w:tc>
      </w:tr>
      <w:tr w:rsidR="00770BFC" w:rsidRPr="00770BFC" w14:paraId="04D070EE" w14:textId="77777777" w:rsidTr="00F14902">
        <w:trPr>
          <w:jc w:val="center"/>
        </w:trPr>
        <w:tc>
          <w:tcPr>
            <w:tcW w:w="3817" w:type="dxa"/>
            <w:tcBorders>
              <w:top w:val="single" w:sz="6" w:space="0" w:color="auto"/>
              <w:left w:val="single" w:sz="6" w:space="0" w:color="auto"/>
              <w:bottom w:val="single" w:sz="6" w:space="0" w:color="auto"/>
              <w:right w:val="single" w:sz="6" w:space="0" w:color="auto"/>
            </w:tcBorders>
            <w:vAlign w:val="center"/>
          </w:tcPr>
          <w:p w14:paraId="04D070EC"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rFonts w:cs="Arial"/>
                <w:szCs w:val="22"/>
              </w:rPr>
            </w:pPr>
            <w:r w:rsidRPr="00770BFC">
              <w:rPr>
                <w:rFonts w:cs="Arial"/>
                <w:szCs w:val="22"/>
              </w:rPr>
              <w:t>0.0 to 4.9</w:t>
            </w:r>
          </w:p>
        </w:tc>
        <w:tc>
          <w:tcPr>
            <w:tcW w:w="4681" w:type="dxa"/>
            <w:tcBorders>
              <w:top w:val="single" w:sz="6" w:space="0" w:color="auto"/>
              <w:left w:val="single" w:sz="6" w:space="0" w:color="auto"/>
              <w:bottom w:val="single" w:sz="6" w:space="0" w:color="auto"/>
              <w:right w:val="single" w:sz="6" w:space="0" w:color="auto"/>
            </w:tcBorders>
            <w:vAlign w:val="center"/>
          </w:tcPr>
          <w:p w14:paraId="04D070ED" w14:textId="77777777" w:rsidR="00770BFC" w:rsidRPr="00770BFC" w:rsidRDefault="00770BFC" w:rsidP="00770BFC">
            <w:pPr>
              <w:tabs>
                <w:tab w:val="left" w:pos="720"/>
                <w:tab w:val="left" w:pos="1080"/>
                <w:tab w:val="left" w:pos="1440"/>
                <w:tab w:val="left" w:pos="2160"/>
                <w:tab w:val="left" w:pos="2880"/>
                <w:tab w:val="left" w:pos="3600"/>
                <w:tab w:val="left" w:pos="4320"/>
                <w:tab w:val="left" w:pos="4950"/>
                <w:tab w:val="left" w:pos="5040"/>
                <w:tab w:val="left" w:pos="5760"/>
                <w:tab w:val="left" w:pos="6480"/>
                <w:tab w:val="left" w:pos="9000"/>
              </w:tabs>
              <w:ind w:left="540" w:hanging="540"/>
              <w:jc w:val="center"/>
              <w:rPr>
                <w:rFonts w:cs="Arial"/>
                <w:szCs w:val="22"/>
              </w:rPr>
            </w:pPr>
            <w:r w:rsidRPr="00770BFC">
              <w:rPr>
                <w:rFonts w:cs="Arial"/>
                <w:szCs w:val="22"/>
              </w:rPr>
              <w:t>97</w:t>
            </w:r>
          </w:p>
        </w:tc>
      </w:tr>
      <w:tr w:rsidR="00770BFC" w:rsidRPr="00770BFC" w14:paraId="04D070F1" w14:textId="77777777" w:rsidTr="00F14902">
        <w:trPr>
          <w:jc w:val="center"/>
        </w:trPr>
        <w:tc>
          <w:tcPr>
            <w:tcW w:w="3817" w:type="dxa"/>
            <w:tcBorders>
              <w:top w:val="single" w:sz="6" w:space="0" w:color="auto"/>
              <w:left w:val="single" w:sz="6" w:space="0" w:color="auto"/>
              <w:bottom w:val="single" w:sz="6" w:space="0" w:color="auto"/>
              <w:right w:val="single" w:sz="6" w:space="0" w:color="auto"/>
            </w:tcBorders>
            <w:vAlign w:val="center"/>
          </w:tcPr>
          <w:p w14:paraId="04D070EF"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s>
              <w:ind w:left="540" w:hanging="540"/>
              <w:jc w:val="center"/>
              <w:rPr>
                <w:sz w:val="24"/>
                <w:szCs w:val="24"/>
              </w:rPr>
            </w:pPr>
            <w:r w:rsidRPr="00770BFC">
              <w:rPr>
                <w:sz w:val="24"/>
                <w:szCs w:val="24"/>
              </w:rPr>
              <w:t>Below 0.0</w:t>
            </w:r>
          </w:p>
        </w:tc>
        <w:tc>
          <w:tcPr>
            <w:tcW w:w="4681" w:type="dxa"/>
            <w:tcBorders>
              <w:top w:val="single" w:sz="6" w:space="0" w:color="auto"/>
              <w:left w:val="single" w:sz="6" w:space="0" w:color="auto"/>
              <w:bottom w:val="single" w:sz="6" w:space="0" w:color="auto"/>
              <w:right w:val="single" w:sz="6" w:space="0" w:color="auto"/>
            </w:tcBorders>
            <w:vAlign w:val="center"/>
          </w:tcPr>
          <w:p w14:paraId="04D070F0" w14:textId="77777777" w:rsidR="00770BFC" w:rsidRPr="00770BFC" w:rsidRDefault="00770BFC" w:rsidP="00770BFC">
            <w:pPr>
              <w:tabs>
                <w:tab w:val="left" w:pos="720"/>
                <w:tab w:val="left" w:pos="1080"/>
                <w:tab w:val="left" w:pos="1440"/>
                <w:tab w:val="left" w:pos="2160"/>
                <w:tab w:val="left" w:pos="2880"/>
                <w:tab w:val="left" w:pos="3600"/>
                <w:tab w:val="left" w:pos="4320"/>
                <w:tab w:val="left" w:pos="4950"/>
                <w:tab w:val="left" w:pos="5040"/>
                <w:tab w:val="left" w:pos="5760"/>
                <w:tab w:val="left" w:pos="6480"/>
                <w:tab w:val="left" w:pos="9000"/>
              </w:tabs>
              <w:ind w:left="540" w:hanging="540"/>
              <w:jc w:val="center"/>
              <w:rPr>
                <w:sz w:val="24"/>
                <w:szCs w:val="24"/>
                <w:vertAlign w:val="superscript"/>
              </w:rPr>
            </w:pPr>
            <w:r w:rsidRPr="00770BFC">
              <w:rPr>
                <w:sz w:val="24"/>
                <w:szCs w:val="24"/>
              </w:rPr>
              <w:t>97</w:t>
            </w:r>
            <w:r w:rsidRPr="00770BFC">
              <w:rPr>
                <w:sz w:val="24"/>
                <w:szCs w:val="24"/>
                <w:vertAlign w:val="superscript"/>
              </w:rPr>
              <w:t>d</w:t>
            </w:r>
          </w:p>
        </w:tc>
      </w:tr>
    </w:tbl>
    <w:p w14:paraId="04D070F2" w14:textId="77777777" w:rsidR="00770BFC" w:rsidRPr="00770BFC" w:rsidRDefault="00770BFC" w:rsidP="0077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snapToGrid w:val="0"/>
        </w:rPr>
      </w:pPr>
      <w:r w:rsidRPr="00770BFC">
        <w:rPr>
          <w:b/>
          <w:snapToGrid w:val="0"/>
        </w:rPr>
        <w:tab/>
      </w:r>
      <w:proofErr w:type="gramStart"/>
      <w:r w:rsidRPr="00770BFC">
        <w:rPr>
          <w:sz w:val="24"/>
          <w:szCs w:val="24"/>
          <w:vertAlign w:val="superscript"/>
        </w:rPr>
        <w:t>d</w:t>
      </w:r>
      <w:proofErr w:type="gramEnd"/>
      <w:r w:rsidRPr="00770BFC">
        <w:rPr>
          <w:sz w:val="24"/>
          <w:szCs w:val="24"/>
        </w:rPr>
        <w:t xml:space="preserve"> After correction to 0.0 or greater.</w:t>
      </w:r>
    </w:p>
    <w:p w14:paraId="04D070F3" w14:textId="77777777" w:rsidR="00EE3FDA" w:rsidRDefault="00EE3FDA" w:rsidP="00B7749A">
      <w:pPr>
        <w:jc w:val="both"/>
        <w:rPr>
          <w:rFonts w:cs="Arial"/>
          <w:szCs w:val="22"/>
        </w:rPr>
      </w:pPr>
    </w:p>
    <w:p w14:paraId="0FA92264" w14:textId="77777777" w:rsidR="00D84BA9" w:rsidRPr="00D84BA9" w:rsidRDefault="00D84BA9" w:rsidP="00B7749A">
      <w:pPr>
        <w:jc w:val="both"/>
        <w:rPr>
          <w:rFonts w:cs="Arial"/>
          <w:szCs w:val="22"/>
        </w:rPr>
      </w:pPr>
    </w:p>
    <w:sectPr w:rsidR="00D84BA9" w:rsidRPr="00D8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C4F1C"/>
    <w:multiLevelType w:val="hybridMultilevel"/>
    <w:tmpl w:val="41BA00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4189A"/>
    <w:multiLevelType w:val="hybridMultilevel"/>
    <w:tmpl w:val="A7420CA0"/>
    <w:lvl w:ilvl="0" w:tplc="905ED5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E2"/>
    <w:rsid w:val="000A4D1E"/>
    <w:rsid w:val="000D6FF6"/>
    <w:rsid w:val="000E28F1"/>
    <w:rsid w:val="002306AC"/>
    <w:rsid w:val="002F7719"/>
    <w:rsid w:val="00310055"/>
    <w:rsid w:val="0036514E"/>
    <w:rsid w:val="003949F8"/>
    <w:rsid w:val="003A73E0"/>
    <w:rsid w:val="003D05E5"/>
    <w:rsid w:val="003E63F6"/>
    <w:rsid w:val="004324E3"/>
    <w:rsid w:val="004607A2"/>
    <w:rsid w:val="00470CA9"/>
    <w:rsid w:val="004714DD"/>
    <w:rsid w:val="004D1C7A"/>
    <w:rsid w:val="004D30CA"/>
    <w:rsid w:val="005421AE"/>
    <w:rsid w:val="0058767C"/>
    <w:rsid w:val="005F4644"/>
    <w:rsid w:val="00614FFA"/>
    <w:rsid w:val="00650511"/>
    <w:rsid w:val="00653529"/>
    <w:rsid w:val="006B4F7E"/>
    <w:rsid w:val="007127EA"/>
    <w:rsid w:val="00770BFC"/>
    <w:rsid w:val="007D7423"/>
    <w:rsid w:val="007E3084"/>
    <w:rsid w:val="008E0FBF"/>
    <w:rsid w:val="008F3277"/>
    <w:rsid w:val="009518E1"/>
    <w:rsid w:val="009626D3"/>
    <w:rsid w:val="009740E2"/>
    <w:rsid w:val="009A1208"/>
    <w:rsid w:val="00A7386D"/>
    <w:rsid w:val="00AA58F6"/>
    <w:rsid w:val="00AC6FA3"/>
    <w:rsid w:val="00AF2E18"/>
    <w:rsid w:val="00AF65E6"/>
    <w:rsid w:val="00B15722"/>
    <w:rsid w:val="00B7749A"/>
    <w:rsid w:val="00B84750"/>
    <w:rsid w:val="00BB7F35"/>
    <w:rsid w:val="00BD095F"/>
    <w:rsid w:val="00BE3ABD"/>
    <w:rsid w:val="00C425EA"/>
    <w:rsid w:val="00C64F69"/>
    <w:rsid w:val="00D17235"/>
    <w:rsid w:val="00D46860"/>
    <w:rsid w:val="00D84BA9"/>
    <w:rsid w:val="00DA52AC"/>
    <w:rsid w:val="00DE1F52"/>
    <w:rsid w:val="00E02A76"/>
    <w:rsid w:val="00E23DE4"/>
    <w:rsid w:val="00E54333"/>
    <w:rsid w:val="00E7632D"/>
    <w:rsid w:val="00ED47C5"/>
    <w:rsid w:val="00EE3FDA"/>
    <w:rsid w:val="00F72579"/>
    <w:rsid w:val="00F7756D"/>
    <w:rsid w:val="00FA394F"/>
    <w:rsid w:val="00FE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A9"/>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8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0"/>
    <w:pPr>
      <w:ind w:left="720"/>
      <w:contextualSpacing/>
    </w:pPr>
  </w:style>
  <w:style w:type="table" w:styleId="TableGrid">
    <w:name w:val="Table Grid"/>
    <w:basedOn w:val="TableNormal"/>
    <w:uiPriority w:val="59"/>
    <w:rsid w:val="003A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7EA"/>
    <w:rPr>
      <w:rFonts w:ascii="Tahoma" w:hAnsi="Tahoma" w:cs="Tahoma"/>
      <w:sz w:val="16"/>
      <w:szCs w:val="16"/>
    </w:rPr>
  </w:style>
  <w:style w:type="character" w:customStyle="1" w:styleId="BalloonTextChar">
    <w:name w:val="Balloon Text Char"/>
    <w:basedOn w:val="DefaultParagraphFont"/>
    <w:link w:val="BalloonText"/>
    <w:uiPriority w:val="99"/>
    <w:semiHidden/>
    <w:rsid w:val="007127EA"/>
    <w:rPr>
      <w:rFonts w:ascii="Tahoma" w:hAnsi="Tahoma" w:cs="Tahoma"/>
      <w:sz w:val="16"/>
      <w:szCs w:val="16"/>
    </w:rPr>
  </w:style>
  <w:style w:type="character" w:styleId="CommentReference">
    <w:name w:val="annotation reference"/>
    <w:basedOn w:val="DefaultParagraphFont"/>
    <w:uiPriority w:val="99"/>
    <w:semiHidden/>
    <w:unhideWhenUsed/>
    <w:rsid w:val="00DE1F52"/>
    <w:rPr>
      <w:sz w:val="16"/>
      <w:szCs w:val="16"/>
    </w:rPr>
  </w:style>
  <w:style w:type="paragraph" w:styleId="CommentText">
    <w:name w:val="annotation text"/>
    <w:basedOn w:val="Normal"/>
    <w:link w:val="CommentTextChar"/>
    <w:uiPriority w:val="99"/>
    <w:semiHidden/>
    <w:unhideWhenUsed/>
    <w:rsid w:val="00DE1F52"/>
  </w:style>
  <w:style w:type="character" w:customStyle="1" w:styleId="CommentTextChar">
    <w:name w:val="Comment Text Char"/>
    <w:basedOn w:val="DefaultParagraphFont"/>
    <w:link w:val="CommentText"/>
    <w:uiPriority w:val="99"/>
    <w:semiHidden/>
    <w:rsid w:val="00DE1F52"/>
    <w:rPr>
      <w:sz w:val="20"/>
      <w:szCs w:val="20"/>
    </w:rPr>
  </w:style>
  <w:style w:type="paragraph" w:styleId="CommentSubject">
    <w:name w:val="annotation subject"/>
    <w:basedOn w:val="CommentText"/>
    <w:next w:val="CommentText"/>
    <w:link w:val="CommentSubjectChar"/>
    <w:uiPriority w:val="99"/>
    <w:semiHidden/>
    <w:unhideWhenUsed/>
    <w:rsid w:val="00DE1F52"/>
    <w:rPr>
      <w:b/>
      <w:bCs/>
    </w:rPr>
  </w:style>
  <w:style w:type="character" w:customStyle="1" w:styleId="CommentSubjectChar">
    <w:name w:val="Comment Subject Char"/>
    <w:basedOn w:val="CommentTextChar"/>
    <w:link w:val="CommentSubject"/>
    <w:uiPriority w:val="99"/>
    <w:semiHidden/>
    <w:rsid w:val="00DE1F52"/>
    <w:rPr>
      <w:b/>
      <w:bCs/>
      <w:sz w:val="20"/>
      <w:szCs w:val="20"/>
    </w:rPr>
  </w:style>
  <w:style w:type="character" w:customStyle="1" w:styleId="Heading1Char">
    <w:name w:val="Heading 1 Char"/>
    <w:basedOn w:val="DefaultParagraphFont"/>
    <w:link w:val="Heading1"/>
    <w:uiPriority w:val="9"/>
    <w:rsid w:val="00D84BA9"/>
    <w:rPr>
      <w:rFonts w:ascii="Arial" w:eastAsia="Times New Roman" w:hAnsi="Arial" w:cs="Times New Roman"/>
      <w:snapToGrid w:val="0"/>
      <w:color w:val="00000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A9"/>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8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0"/>
    <w:pPr>
      <w:ind w:left="720"/>
      <w:contextualSpacing/>
    </w:pPr>
  </w:style>
  <w:style w:type="table" w:styleId="TableGrid">
    <w:name w:val="Table Grid"/>
    <w:basedOn w:val="TableNormal"/>
    <w:uiPriority w:val="59"/>
    <w:rsid w:val="003A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7EA"/>
    <w:rPr>
      <w:rFonts w:ascii="Tahoma" w:hAnsi="Tahoma" w:cs="Tahoma"/>
      <w:sz w:val="16"/>
      <w:szCs w:val="16"/>
    </w:rPr>
  </w:style>
  <w:style w:type="character" w:customStyle="1" w:styleId="BalloonTextChar">
    <w:name w:val="Balloon Text Char"/>
    <w:basedOn w:val="DefaultParagraphFont"/>
    <w:link w:val="BalloonText"/>
    <w:uiPriority w:val="99"/>
    <w:semiHidden/>
    <w:rsid w:val="007127EA"/>
    <w:rPr>
      <w:rFonts w:ascii="Tahoma" w:hAnsi="Tahoma" w:cs="Tahoma"/>
      <w:sz w:val="16"/>
      <w:szCs w:val="16"/>
    </w:rPr>
  </w:style>
  <w:style w:type="character" w:styleId="CommentReference">
    <w:name w:val="annotation reference"/>
    <w:basedOn w:val="DefaultParagraphFont"/>
    <w:uiPriority w:val="99"/>
    <w:semiHidden/>
    <w:unhideWhenUsed/>
    <w:rsid w:val="00DE1F52"/>
    <w:rPr>
      <w:sz w:val="16"/>
      <w:szCs w:val="16"/>
    </w:rPr>
  </w:style>
  <w:style w:type="paragraph" w:styleId="CommentText">
    <w:name w:val="annotation text"/>
    <w:basedOn w:val="Normal"/>
    <w:link w:val="CommentTextChar"/>
    <w:uiPriority w:val="99"/>
    <w:semiHidden/>
    <w:unhideWhenUsed/>
    <w:rsid w:val="00DE1F52"/>
  </w:style>
  <w:style w:type="character" w:customStyle="1" w:styleId="CommentTextChar">
    <w:name w:val="Comment Text Char"/>
    <w:basedOn w:val="DefaultParagraphFont"/>
    <w:link w:val="CommentText"/>
    <w:uiPriority w:val="99"/>
    <w:semiHidden/>
    <w:rsid w:val="00DE1F52"/>
    <w:rPr>
      <w:sz w:val="20"/>
      <w:szCs w:val="20"/>
    </w:rPr>
  </w:style>
  <w:style w:type="paragraph" w:styleId="CommentSubject">
    <w:name w:val="annotation subject"/>
    <w:basedOn w:val="CommentText"/>
    <w:next w:val="CommentText"/>
    <w:link w:val="CommentSubjectChar"/>
    <w:uiPriority w:val="99"/>
    <w:semiHidden/>
    <w:unhideWhenUsed/>
    <w:rsid w:val="00DE1F52"/>
    <w:rPr>
      <w:b/>
      <w:bCs/>
    </w:rPr>
  </w:style>
  <w:style w:type="character" w:customStyle="1" w:styleId="CommentSubjectChar">
    <w:name w:val="Comment Subject Char"/>
    <w:basedOn w:val="CommentTextChar"/>
    <w:link w:val="CommentSubject"/>
    <w:uiPriority w:val="99"/>
    <w:semiHidden/>
    <w:rsid w:val="00DE1F52"/>
    <w:rPr>
      <w:b/>
      <w:bCs/>
      <w:sz w:val="20"/>
      <w:szCs w:val="20"/>
    </w:rPr>
  </w:style>
  <w:style w:type="character" w:customStyle="1" w:styleId="Heading1Char">
    <w:name w:val="Heading 1 Char"/>
    <w:basedOn w:val="DefaultParagraphFont"/>
    <w:link w:val="Heading1"/>
    <w:uiPriority w:val="9"/>
    <w:rsid w:val="00D84BA9"/>
    <w:rPr>
      <w:rFonts w:ascii="Arial" w:eastAsia="Times New Roman" w:hAnsi="Arial" w:cs="Times New Roman"/>
      <w:snapToGrid w:val="0"/>
      <w:color w:val="00000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SP_Section xmlns="00ca3444-dc36-48d0-8ed3-fecfe750809b">0610 - Pavement Smoothness</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04/23/18 - Formatting change to heading
11/17/17 - Added Non-standard JSP to JSP database</ExplanatoryNotes>
    <ShortName xmlns="00ca3444-dc36-48d0-8ed3-fecfe750809b">PAVEMENT SMOOTHNESS FOR UBAWS</ShortName>
    <First_Effective_Bid_Opening_Date xmlns="00ca3444-dc36-48d0-8ed3-fecfe750809b">N/A</First_Effective_Bid_Opening_Date>
    <JSP_Author xmlns="00ca3444-dc36-48d0-8ed3-fecfe750809b">Jason Blomberg</JSP_Author>
    <Revision_Date xmlns="00ca3444-dc36-48d0-8ed3-fecfe750809b">2018-04-23T05:00:00+00:00</Revision_Date>
    <JSP_Title xmlns="00ca3444-dc36-48d0-8ed3-fecfe750809b">Pavement Smoothness for UBAWS *</JSP_Title>
    <Explanatory_Notes xmlns="00ca3444-dc36-48d0-8ed3-fecfe750809b">* Limited Use. Requires approval from Construction and Materials Division prior to use.</Explanatory_Notes>
    <JSP_ID_Num xmlns="00ca3444-dc36-48d0-8ed3-fecfe750809b">NJSP-17-05A</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A8CA7DA-6D2A-4F92-990C-F46ED00E5BD6}"/>
</file>

<file path=customXml/itemProps2.xml><?xml version="1.0" encoding="utf-8"?>
<ds:datastoreItem xmlns:ds="http://schemas.openxmlformats.org/officeDocument/2006/customXml" ds:itemID="{C8487939-410B-43B8-B7E9-50D7CF5C2BC8}"/>
</file>

<file path=customXml/itemProps3.xml><?xml version="1.0" encoding="utf-8"?>
<ds:datastoreItem xmlns:ds="http://schemas.openxmlformats.org/officeDocument/2006/customXml" ds:itemID="{7C1BF8CE-2F89-46F3-A678-BBC28808E2F0}">
  <ds:schemaRefs>
    <ds:schemaRef ds:uri="7c8db1f5-cafb-44ec-b512-a31f46f7a713"/>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0322e2f-e1f5-4cea-aee5-b92aa1fdda9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B4E2AF8-E9F0-4179-99B4-48CFD21DC94C}"/>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PAVEMENT SMOOTHNESS FOR UBAWS</vt:lpstr>
    </vt:vector>
  </TitlesOfParts>
  <Company>MoDOT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SMOOTHNESS FOR UBAWS</dc:title>
  <dc:creator>Samuel Niederhelm</dc:creator>
  <cp:lastModifiedBy>Tim Oligschlaeger</cp:lastModifiedBy>
  <cp:revision>4</cp:revision>
  <dcterms:created xsi:type="dcterms:W3CDTF">2017-11-22T22:03:00Z</dcterms:created>
  <dcterms:modified xsi:type="dcterms:W3CDTF">2018-04-23T13:04:00Z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51200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5" name="Last_Modified">
    <vt:lpwstr>04/23/2018</vt:lpwstr>
  </property>
</Properties>
</file>