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5C760" w14:textId="66856CAF" w:rsidR="004D0922" w:rsidRDefault="00756830" w:rsidP="00756830">
      <w:pPr>
        <w:pStyle w:val="Heading1"/>
        <w:rPr>
          <w:u w:val="none"/>
        </w:rPr>
      </w:pPr>
      <w:r w:rsidRPr="00756830">
        <w:t xml:space="preserve">Reinforcing Fibers </w:t>
      </w:r>
      <w:r>
        <w:t>f</w:t>
      </w:r>
      <w:r w:rsidRPr="00756830">
        <w:t>or Bituminous Pavement Material</w:t>
      </w:r>
      <w:r w:rsidR="004D0922" w:rsidRPr="00756830">
        <w:rPr>
          <w:u w:val="none"/>
        </w:rPr>
        <w:t xml:space="preserve"> NJSP-17-06</w:t>
      </w:r>
      <w:r w:rsidR="008E763D">
        <w:rPr>
          <w:u w:val="none"/>
        </w:rPr>
        <w:t>C</w:t>
      </w:r>
    </w:p>
    <w:p w14:paraId="5E8CB941" w14:textId="77777777" w:rsidR="00756830" w:rsidRPr="00756830" w:rsidRDefault="00756830" w:rsidP="00756830"/>
    <w:p w14:paraId="7EADE49F" w14:textId="77777777" w:rsidR="004D0922" w:rsidRPr="00C915B5" w:rsidRDefault="004D0922" w:rsidP="008329F6">
      <w:pPr>
        <w:pStyle w:val="ListParagraph"/>
        <w:numPr>
          <w:ilvl w:val="0"/>
          <w:numId w:val="5"/>
        </w:numPr>
        <w:tabs>
          <w:tab w:val="left" w:pos="450"/>
        </w:tabs>
        <w:ind w:left="0" w:firstLine="0"/>
        <w:rPr>
          <w:rFonts w:cs="Arial"/>
          <w:szCs w:val="22"/>
        </w:rPr>
      </w:pPr>
      <w:r w:rsidRPr="00C915B5">
        <w:rPr>
          <w:rFonts w:cs="Arial"/>
          <w:b/>
          <w:szCs w:val="22"/>
        </w:rPr>
        <w:t>Description.</w:t>
      </w:r>
      <w:r w:rsidRPr="00C915B5">
        <w:rPr>
          <w:rFonts w:cs="Arial"/>
          <w:szCs w:val="22"/>
        </w:rPr>
        <w:t xml:space="preserve">  This work shall consist of adding a high tensile strength synthetic fiber to the bituminous mixture to be placed as specified in the contract documents.  The Fiber Reinforced Asphalt Concrete (FRAC) mixture produced shall meet all Sec 403 requirements.  The material properties, handling, mixing and placement of the fibers shall be in accordance with this provision.</w:t>
      </w:r>
    </w:p>
    <w:p w14:paraId="7028B0BA" w14:textId="77777777" w:rsidR="004D0922" w:rsidRDefault="004D0922" w:rsidP="008329F6">
      <w:pPr>
        <w:pStyle w:val="ListParagraph"/>
        <w:tabs>
          <w:tab w:val="left" w:pos="450"/>
        </w:tabs>
        <w:ind w:left="0"/>
        <w:rPr>
          <w:rFonts w:cs="Arial"/>
          <w:szCs w:val="22"/>
        </w:rPr>
      </w:pPr>
    </w:p>
    <w:p w14:paraId="4D8F9055" w14:textId="77777777" w:rsidR="00DB6ADC" w:rsidRPr="00C915B5" w:rsidRDefault="00DB6ADC" w:rsidP="008329F6">
      <w:pPr>
        <w:pStyle w:val="ListParagraph"/>
        <w:numPr>
          <w:ilvl w:val="0"/>
          <w:numId w:val="5"/>
        </w:numPr>
        <w:tabs>
          <w:tab w:val="left" w:pos="450"/>
        </w:tabs>
        <w:ind w:left="0" w:firstLine="0"/>
        <w:rPr>
          <w:rFonts w:cs="Arial"/>
          <w:szCs w:val="22"/>
        </w:rPr>
      </w:pPr>
      <w:r w:rsidRPr="00C915B5">
        <w:rPr>
          <w:rFonts w:cs="Arial"/>
          <w:b/>
          <w:szCs w:val="22"/>
        </w:rPr>
        <w:t>Materials</w:t>
      </w:r>
      <w:r w:rsidRPr="00C915B5">
        <w:rPr>
          <w:rFonts w:cs="Arial"/>
          <w:szCs w:val="22"/>
        </w:rPr>
        <w:t xml:space="preserve">.  </w:t>
      </w:r>
    </w:p>
    <w:p w14:paraId="17A0E0A7" w14:textId="77777777" w:rsidR="00DB6ADC" w:rsidRPr="00C915B5" w:rsidRDefault="00DB6ADC" w:rsidP="008329F6">
      <w:pPr>
        <w:pStyle w:val="ListParagraph"/>
        <w:tabs>
          <w:tab w:val="left" w:pos="450"/>
        </w:tabs>
        <w:ind w:left="0"/>
        <w:rPr>
          <w:rFonts w:cs="Arial"/>
          <w:szCs w:val="22"/>
        </w:rPr>
      </w:pPr>
    </w:p>
    <w:p w14:paraId="11D71CFE" w14:textId="77777777" w:rsidR="00DB6ADC" w:rsidRPr="00C915B5" w:rsidRDefault="00DB6ADC" w:rsidP="008329F6">
      <w:pPr>
        <w:pStyle w:val="ListParagraph"/>
        <w:numPr>
          <w:ilvl w:val="1"/>
          <w:numId w:val="5"/>
        </w:numPr>
        <w:tabs>
          <w:tab w:val="left" w:pos="450"/>
        </w:tabs>
        <w:ind w:left="0" w:firstLine="0"/>
        <w:rPr>
          <w:rFonts w:cs="Arial"/>
          <w:szCs w:val="22"/>
        </w:rPr>
      </w:pPr>
      <w:r w:rsidRPr="00C915B5">
        <w:rPr>
          <w:rFonts w:cs="Arial"/>
          <w:b/>
          <w:szCs w:val="22"/>
        </w:rPr>
        <w:t>Fiber Properties.</w:t>
      </w:r>
      <w:r w:rsidRPr="00C915B5">
        <w:rPr>
          <w:rFonts w:cs="Arial"/>
          <w:szCs w:val="22"/>
        </w:rPr>
        <w:t xml:space="preserve">  The reinforcing fibers shall contain aramid fibers</w:t>
      </w:r>
      <w:r>
        <w:rPr>
          <w:rFonts w:cs="Arial"/>
          <w:szCs w:val="22"/>
        </w:rPr>
        <w:t xml:space="preserve"> and a dispersion aid</w:t>
      </w:r>
      <w:r w:rsidRPr="00C915B5">
        <w:rPr>
          <w:rFonts w:cs="Arial"/>
          <w:szCs w:val="22"/>
        </w:rPr>
        <w:t xml:space="preserve"> that meet the following </w:t>
      </w:r>
      <w:r>
        <w:rPr>
          <w:rFonts w:cs="Arial"/>
          <w:szCs w:val="22"/>
        </w:rPr>
        <w:t>material r</w:t>
      </w:r>
      <w:r w:rsidRPr="00C915B5">
        <w:rPr>
          <w:rFonts w:cs="Arial"/>
          <w:szCs w:val="22"/>
        </w:rPr>
        <w:t>equirements as detailed in Table 1 below:</w:t>
      </w:r>
      <w:r w:rsidRPr="00C915B5">
        <w:rPr>
          <w:szCs w:val="22"/>
        </w:rPr>
        <w:t xml:space="preserve"> </w:t>
      </w:r>
    </w:p>
    <w:p w14:paraId="04800A34" w14:textId="77777777" w:rsidR="00DB6ADC" w:rsidRPr="00C915B5" w:rsidRDefault="00DB6ADC" w:rsidP="00DB6ADC">
      <w:pPr>
        <w:rPr>
          <w:rFonts w:cs="Arial"/>
          <w:szCs w:val="22"/>
        </w:rPr>
      </w:pPr>
    </w:p>
    <w:tbl>
      <w:tblPr>
        <w:tblStyle w:val="TableGrid"/>
        <w:tblW w:w="7976" w:type="dxa"/>
        <w:jc w:val="center"/>
        <w:tblLook w:val="04A0" w:firstRow="1" w:lastRow="0" w:firstColumn="1" w:lastColumn="0" w:noHBand="0" w:noVBand="1"/>
      </w:tblPr>
      <w:tblGrid>
        <w:gridCol w:w="2908"/>
        <w:gridCol w:w="1626"/>
        <w:gridCol w:w="3442"/>
      </w:tblGrid>
      <w:tr w:rsidR="00DB6ADC" w14:paraId="01A08E08" w14:textId="77777777" w:rsidTr="008B66C4">
        <w:trPr>
          <w:trHeight w:val="332"/>
          <w:jc w:val="center"/>
        </w:trPr>
        <w:tc>
          <w:tcPr>
            <w:tcW w:w="7976" w:type="dxa"/>
            <w:gridSpan w:val="3"/>
            <w:tcBorders>
              <w:top w:val="single" w:sz="12" w:space="0" w:color="auto"/>
              <w:left w:val="single" w:sz="12" w:space="0" w:color="auto"/>
              <w:bottom w:val="single" w:sz="12" w:space="0" w:color="auto"/>
              <w:right w:val="single" w:sz="12" w:space="0" w:color="auto"/>
            </w:tcBorders>
            <w:vAlign w:val="center"/>
          </w:tcPr>
          <w:p w14:paraId="3F141CC5" w14:textId="77777777" w:rsidR="00DB6ADC" w:rsidRPr="00587844" w:rsidRDefault="00DB6ADC" w:rsidP="008B66C4">
            <w:pPr>
              <w:pStyle w:val="ListParagraph"/>
              <w:ind w:left="0"/>
              <w:jc w:val="center"/>
              <w:rPr>
                <w:rFonts w:cs="Arial"/>
                <w:b/>
              </w:rPr>
            </w:pPr>
            <w:r>
              <w:rPr>
                <w:rFonts w:cs="Arial"/>
                <w:b/>
              </w:rPr>
              <w:t>Table 1 – Aramid Reinforcing Fibers Material Properties</w:t>
            </w:r>
          </w:p>
        </w:tc>
      </w:tr>
      <w:tr w:rsidR="00DB6ADC" w14:paraId="5733A4B4" w14:textId="77777777" w:rsidTr="008B66C4">
        <w:trPr>
          <w:trHeight w:val="357"/>
          <w:jc w:val="center"/>
        </w:trPr>
        <w:tc>
          <w:tcPr>
            <w:tcW w:w="2908" w:type="dxa"/>
            <w:tcBorders>
              <w:top w:val="single" w:sz="12" w:space="0" w:color="auto"/>
              <w:left w:val="single" w:sz="12" w:space="0" w:color="auto"/>
            </w:tcBorders>
            <w:vAlign w:val="center"/>
          </w:tcPr>
          <w:p w14:paraId="077581EE" w14:textId="77777777" w:rsidR="00DB6ADC" w:rsidRPr="00693DC1" w:rsidRDefault="00DB6ADC" w:rsidP="008B66C4">
            <w:pPr>
              <w:pStyle w:val="ListParagraph"/>
              <w:ind w:left="0"/>
              <w:jc w:val="center"/>
              <w:rPr>
                <w:rFonts w:cs="Arial"/>
                <w:b/>
              </w:rPr>
            </w:pPr>
            <w:r w:rsidRPr="00693DC1">
              <w:rPr>
                <w:rFonts w:cs="Arial"/>
                <w:b/>
              </w:rPr>
              <w:t>Property</w:t>
            </w:r>
          </w:p>
        </w:tc>
        <w:tc>
          <w:tcPr>
            <w:tcW w:w="1626" w:type="dxa"/>
            <w:tcBorders>
              <w:top w:val="single" w:sz="12" w:space="0" w:color="auto"/>
            </w:tcBorders>
            <w:vAlign w:val="center"/>
          </w:tcPr>
          <w:p w14:paraId="420643B4" w14:textId="77777777" w:rsidR="00DB6ADC" w:rsidRPr="00693DC1" w:rsidRDefault="00DB6ADC" w:rsidP="008B66C4">
            <w:pPr>
              <w:pStyle w:val="ListParagraph"/>
              <w:ind w:left="0"/>
              <w:jc w:val="center"/>
              <w:rPr>
                <w:rFonts w:cs="Arial"/>
                <w:b/>
              </w:rPr>
            </w:pPr>
            <w:r>
              <w:rPr>
                <w:rFonts w:cs="Arial"/>
                <w:b/>
              </w:rPr>
              <w:t>Test Method</w:t>
            </w:r>
          </w:p>
        </w:tc>
        <w:tc>
          <w:tcPr>
            <w:tcW w:w="3442" w:type="dxa"/>
            <w:tcBorders>
              <w:top w:val="single" w:sz="12" w:space="0" w:color="auto"/>
              <w:right w:val="single" w:sz="12" w:space="0" w:color="auto"/>
            </w:tcBorders>
            <w:vAlign w:val="center"/>
          </w:tcPr>
          <w:p w14:paraId="0560373C" w14:textId="77777777" w:rsidR="00DB6ADC" w:rsidRPr="00693DC1" w:rsidRDefault="00DB6ADC" w:rsidP="008B66C4">
            <w:pPr>
              <w:pStyle w:val="ListParagraph"/>
              <w:ind w:left="0"/>
              <w:jc w:val="center"/>
              <w:rPr>
                <w:rFonts w:cs="Arial"/>
                <w:b/>
              </w:rPr>
            </w:pPr>
            <w:r>
              <w:rPr>
                <w:rFonts w:cs="Arial"/>
                <w:b/>
              </w:rPr>
              <w:t>Criteria</w:t>
            </w:r>
          </w:p>
        </w:tc>
      </w:tr>
      <w:tr w:rsidR="00DB6ADC" w14:paraId="3A1F2594" w14:textId="77777777" w:rsidTr="008B66C4">
        <w:trPr>
          <w:trHeight w:val="70"/>
          <w:jc w:val="center"/>
        </w:trPr>
        <w:tc>
          <w:tcPr>
            <w:tcW w:w="2908" w:type="dxa"/>
            <w:tcBorders>
              <w:left w:val="single" w:sz="12" w:space="0" w:color="auto"/>
            </w:tcBorders>
            <w:vAlign w:val="center"/>
          </w:tcPr>
          <w:p w14:paraId="73427829" w14:textId="77777777" w:rsidR="00DB6ADC" w:rsidRPr="0098368D" w:rsidRDefault="00DB6ADC" w:rsidP="008B66C4">
            <w:pPr>
              <w:pStyle w:val="ListParagraph"/>
              <w:ind w:left="0"/>
              <w:jc w:val="center"/>
              <w:rPr>
                <w:rFonts w:cs="Arial"/>
              </w:rPr>
            </w:pPr>
            <w:r w:rsidRPr="0098368D">
              <w:rPr>
                <w:rFonts w:cs="Arial"/>
              </w:rPr>
              <w:t>Form</w:t>
            </w:r>
          </w:p>
        </w:tc>
        <w:tc>
          <w:tcPr>
            <w:tcW w:w="1626" w:type="dxa"/>
            <w:vAlign w:val="center"/>
          </w:tcPr>
          <w:p w14:paraId="5808B6E0" w14:textId="77777777" w:rsidR="00DB6ADC" w:rsidRPr="00F63603" w:rsidRDefault="00DB6ADC" w:rsidP="008B66C4">
            <w:pPr>
              <w:pStyle w:val="ListParagraph"/>
              <w:ind w:left="0"/>
              <w:jc w:val="center"/>
              <w:rPr>
                <w:rFonts w:cs="Arial"/>
                <w:sz w:val="18"/>
                <w:szCs w:val="18"/>
              </w:rPr>
            </w:pPr>
            <w:r w:rsidRPr="00F63603">
              <w:rPr>
                <w:rFonts w:cs="Arial"/>
                <w:sz w:val="18"/>
                <w:szCs w:val="18"/>
              </w:rPr>
              <w:t>Manufacturer Certification</w:t>
            </w:r>
          </w:p>
        </w:tc>
        <w:tc>
          <w:tcPr>
            <w:tcW w:w="3442" w:type="dxa"/>
            <w:tcBorders>
              <w:right w:val="single" w:sz="12" w:space="0" w:color="auto"/>
            </w:tcBorders>
            <w:vAlign w:val="center"/>
          </w:tcPr>
          <w:p w14:paraId="615CA47C" w14:textId="77777777" w:rsidR="00DB6ADC" w:rsidRPr="0098368D" w:rsidRDefault="00DB6ADC" w:rsidP="008B66C4">
            <w:pPr>
              <w:pStyle w:val="ListParagraph"/>
              <w:ind w:left="0"/>
              <w:jc w:val="center"/>
              <w:rPr>
                <w:rFonts w:cs="Arial"/>
              </w:rPr>
            </w:pPr>
            <w:r>
              <w:rPr>
                <w:rFonts w:cs="Arial"/>
              </w:rPr>
              <w:t>Aramid Fibers</w:t>
            </w:r>
          </w:p>
        </w:tc>
      </w:tr>
      <w:tr w:rsidR="00DB6ADC" w14:paraId="209482DF" w14:textId="77777777" w:rsidTr="008B66C4">
        <w:trPr>
          <w:trHeight w:val="458"/>
          <w:jc w:val="center"/>
        </w:trPr>
        <w:tc>
          <w:tcPr>
            <w:tcW w:w="2908" w:type="dxa"/>
            <w:tcBorders>
              <w:left w:val="single" w:sz="12" w:space="0" w:color="auto"/>
            </w:tcBorders>
            <w:vAlign w:val="center"/>
          </w:tcPr>
          <w:p w14:paraId="57F17442" w14:textId="77777777" w:rsidR="00DB6ADC" w:rsidRDefault="00DB6ADC" w:rsidP="008B66C4">
            <w:pPr>
              <w:pStyle w:val="ListParagraph"/>
              <w:ind w:left="0"/>
              <w:jc w:val="center"/>
              <w:rPr>
                <w:rFonts w:cs="Arial"/>
              </w:rPr>
            </w:pPr>
            <w:r w:rsidRPr="0098368D">
              <w:rPr>
                <w:rFonts w:cs="Arial"/>
              </w:rPr>
              <w:t>Length (in)</w:t>
            </w:r>
          </w:p>
        </w:tc>
        <w:tc>
          <w:tcPr>
            <w:tcW w:w="1626" w:type="dxa"/>
            <w:vAlign w:val="center"/>
          </w:tcPr>
          <w:p w14:paraId="6505EB7B" w14:textId="77777777" w:rsidR="00DB6ADC" w:rsidRPr="00F63603" w:rsidRDefault="00DB6ADC" w:rsidP="008B66C4">
            <w:pPr>
              <w:pStyle w:val="ListParagraph"/>
              <w:ind w:left="0"/>
              <w:jc w:val="center"/>
              <w:rPr>
                <w:rFonts w:cs="Arial"/>
                <w:sz w:val="20"/>
                <w:szCs w:val="20"/>
              </w:rPr>
            </w:pPr>
            <w:r w:rsidRPr="00F63603">
              <w:rPr>
                <w:rFonts w:cs="Arial"/>
                <w:sz w:val="18"/>
                <w:szCs w:val="18"/>
              </w:rPr>
              <w:t>Manufacturer Certification</w:t>
            </w:r>
          </w:p>
        </w:tc>
        <w:tc>
          <w:tcPr>
            <w:tcW w:w="3442" w:type="dxa"/>
            <w:tcBorders>
              <w:right w:val="single" w:sz="12" w:space="0" w:color="auto"/>
            </w:tcBorders>
            <w:vAlign w:val="center"/>
          </w:tcPr>
          <w:p w14:paraId="2F27AFEA" w14:textId="77777777" w:rsidR="00DB6ADC" w:rsidRPr="0098368D" w:rsidRDefault="00DB6ADC" w:rsidP="008B66C4">
            <w:pPr>
              <w:pStyle w:val="ListParagraph"/>
              <w:ind w:left="0"/>
              <w:jc w:val="center"/>
              <w:rPr>
                <w:rFonts w:cs="Arial"/>
              </w:rPr>
            </w:pPr>
            <w:r w:rsidRPr="0098368D">
              <w:rPr>
                <w:rFonts w:cs="Arial"/>
              </w:rPr>
              <w:t>0.75</w:t>
            </w:r>
          </w:p>
        </w:tc>
      </w:tr>
      <w:tr w:rsidR="00DB6ADC" w14:paraId="33E9B995" w14:textId="77777777" w:rsidTr="008B66C4">
        <w:trPr>
          <w:trHeight w:val="458"/>
          <w:jc w:val="center"/>
        </w:trPr>
        <w:tc>
          <w:tcPr>
            <w:tcW w:w="2908" w:type="dxa"/>
            <w:tcBorders>
              <w:left w:val="single" w:sz="12" w:space="0" w:color="auto"/>
            </w:tcBorders>
            <w:vAlign w:val="center"/>
          </w:tcPr>
          <w:p w14:paraId="7C6D56D6" w14:textId="77777777" w:rsidR="00DB6ADC" w:rsidRDefault="00DB6ADC" w:rsidP="008B66C4">
            <w:pPr>
              <w:pStyle w:val="ListParagraph"/>
              <w:ind w:left="0"/>
              <w:jc w:val="center"/>
              <w:rPr>
                <w:rFonts w:cs="Arial"/>
              </w:rPr>
            </w:pPr>
            <w:r>
              <w:rPr>
                <w:rFonts w:cs="Arial"/>
              </w:rPr>
              <w:t>Melting Temperature</w:t>
            </w:r>
          </w:p>
        </w:tc>
        <w:tc>
          <w:tcPr>
            <w:tcW w:w="1626" w:type="dxa"/>
            <w:vAlign w:val="center"/>
          </w:tcPr>
          <w:p w14:paraId="09A947EE" w14:textId="77777777" w:rsidR="00DB6ADC" w:rsidRPr="00F63603" w:rsidRDefault="00DB6ADC" w:rsidP="008B66C4">
            <w:pPr>
              <w:pStyle w:val="ListParagraph"/>
              <w:ind w:left="0"/>
              <w:jc w:val="center"/>
              <w:rPr>
                <w:rFonts w:cs="Arial"/>
                <w:sz w:val="20"/>
                <w:szCs w:val="20"/>
              </w:rPr>
            </w:pPr>
            <w:r>
              <w:rPr>
                <w:rFonts w:cs="Arial"/>
                <w:sz w:val="18"/>
                <w:szCs w:val="18"/>
              </w:rPr>
              <w:t>Manufacturer Certification</w:t>
            </w:r>
          </w:p>
        </w:tc>
        <w:tc>
          <w:tcPr>
            <w:tcW w:w="3442" w:type="dxa"/>
            <w:tcBorders>
              <w:right w:val="single" w:sz="12" w:space="0" w:color="auto"/>
            </w:tcBorders>
            <w:vAlign w:val="center"/>
          </w:tcPr>
          <w:p w14:paraId="3E39366D" w14:textId="77777777" w:rsidR="00DB6ADC" w:rsidRPr="0098368D" w:rsidRDefault="00DB6ADC" w:rsidP="008B66C4">
            <w:pPr>
              <w:pStyle w:val="ListParagraph"/>
              <w:ind w:left="0"/>
              <w:jc w:val="center"/>
              <w:rPr>
                <w:rFonts w:cs="Arial"/>
              </w:rPr>
            </w:pPr>
            <w:r>
              <w:rPr>
                <w:rFonts w:cs="Arial"/>
              </w:rPr>
              <w:t>800 F</w:t>
            </w:r>
          </w:p>
        </w:tc>
      </w:tr>
      <w:tr w:rsidR="00DB6ADC" w14:paraId="3FF2237C" w14:textId="77777777" w:rsidTr="008B66C4">
        <w:trPr>
          <w:trHeight w:val="458"/>
          <w:jc w:val="center"/>
        </w:trPr>
        <w:tc>
          <w:tcPr>
            <w:tcW w:w="2908" w:type="dxa"/>
            <w:tcBorders>
              <w:left w:val="single" w:sz="12" w:space="0" w:color="auto"/>
            </w:tcBorders>
            <w:vAlign w:val="center"/>
          </w:tcPr>
          <w:p w14:paraId="288155A2" w14:textId="77777777" w:rsidR="00DB6ADC" w:rsidRDefault="00DB6ADC" w:rsidP="008B66C4">
            <w:pPr>
              <w:pStyle w:val="ListParagraph"/>
              <w:ind w:left="0"/>
              <w:jc w:val="center"/>
              <w:rPr>
                <w:rFonts w:cs="Arial"/>
              </w:rPr>
            </w:pPr>
            <w:r w:rsidRPr="0098368D">
              <w:rPr>
                <w:rFonts w:cs="Arial"/>
              </w:rPr>
              <w:t>Nominal Specific Gravity</w:t>
            </w:r>
          </w:p>
          <w:p w14:paraId="04BEECCA" w14:textId="77777777" w:rsidR="00DB6ADC" w:rsidRPr="0098368D" w:rsidRDefault="00DB6ADC" w:rsidP="008B66C4">
            <w:pPr>
              <w:pStyle w:val="ListParagraph"/>
              <w:ind w:left="0"/>
              <w:jc w:val="center"/>
              <w:rPr>
                <w:rFonts w:cs="Arial"/>
              </w:rPr>
            </w:pPr>
            <w:r>
              <w:rPr>
                <w:rFonts w:cs="Arial"/>
              </w:rPr>
              <w:t>(g/cm</w:t>
            </w:r>
            <w:r w:rsidRPr="00A3750A">
              <w:rPr>
                <w:rFonts w:cs="Arial"/>
                <w:vertAlign w:val="superscript"/>
              </w:rPr>
              <w:t>3</w:t>
            </w:r>
            <w:r>
              <w:rPr>
                <w:rFonts w:cs="Arial"/>
              </w:rPr>
              <w:t>)</w:t>
            </w:r>
          </w:p>
        </w:tc>
        <w:tc>
          <w:tcPr>
            <w:tcW w:w="1626" w:type="dxa"/>
            <w:vAlign w:val="center"/>
          </w:tcPr>
          <w:p w14:paraId="2B8EB90E" w14:textId="77777777" w:rsidR="00DB6ADC" w:rsidRPr="00F63603" w:rsidRDefault="00DB6ADC" w:rsidP="008B66C4">
            <w:pPr>
              <w:pStyle w:val="ListParagraph"/>
              <w:ind w:left="0"/>
              <w:jc w:val="center"/>
              <w:rPr>
                <w:rFonts w:cs="Arial"/>
                <w:sz w:val="20"/>
                <w:szCs w:val="20"/>
              </w:rPr>
            </w:pPr>
            <w:r w:rsidRPr="00F63603">
              <w:rPr>
                <w:rFonts w:cs="Arial"/>
                <w:sz w:val="20"/>
                <w:szCs w:val="20"/>
              </w:rPr>
              <w:t>ASTM D276</w:t>
            </w:r>
          </w:p>
        </w:tc>
        <w:tc>
          <w:tcPr>
            <w:tcW w:w="3442" w:type="dxa"/>
            <w:tcBorders>
              <w:right w:val="single" w:sz="12" w:space="0" w:color="auto"/>
            </w:tcBorders>
            <w:vAlign w:val="center"/>
          </w:tcPr>
          <w:p w14:paraId="1D5E265B" w14:textId="77777777" w:rsidR="00DB6ADC" w:rsidRPr="0098368D" w:rsidRDefault="00DB6ADC" w:rsidP="008B66C4">
            <w:pPr>
              <w:pStyle w:val="ListParagraph"/>
              <w:ind w:left="0"/>
              <w:jc w:val="center"/>
              <w:rPr>
                <w:rFonts w:cs="Arial"/>
              </w:rPr>
            </w:pPr>
            <w:r w:rsidRPr="0098368D">
              <w:rPr>
                <w:rFonts w:cs="Arial"/>
              </w:rPr>
              <w:t>1.44</w:t>
            </w:r>
          </w:p>
        </w:tc>
      </w:tr>
      <w:tr w:rsidR="00DB6ADC" w14:paraId="128B7A62" w14:textId="77777777" w:rsidTr="008B66C4">
        <w:trPr>
          <w:trHeight w:val="440"/>
          <w:jc w:val="center"/>
        </w:trPr>
        <w:tc>
          <w:tcPr>
            <w:tcW w:w="2908" w:type="dxa"/>
            <w:tcBorders>
              <w:left w:val="single" w:sz="12" w:space="0" w:color="auto"/>
            </w:tcBorders>
            <w:vAlign w:val="center"/>
          </w:tcPr>
          <w:p w14:paraId="47482F40" w14:textId="77777777" w:rsidR="00DB6ADC" w:rsidRPr="0098368D" w:rsidRDefault="00DB6ADC" w:rsidP="008B66C4">
            <w:pPr>
              <w:pStyle w:val="ListParagraph"/>
              <w:ind w:left="0"/>
              <w:jc w:val="center"/>
              <w:rPr>
                <w:rFonts w:cs="Arial"/>
              </w:rPr>
            </w:pPr>
            <w:r w:rsidRPr="0098368D">
              <w:rPr>
                <w:rFonts w:cs="Arial"/>
              </w:rPr>
              <w:t>Tensile Strength</w:t>
            </w:r>
            <w:r>
              <w:rPr>
                <w:rFonts w:cs="Arial"/>
                <w:vertAlign w:val="superscript"/>
              </w:rPr>
              <w:t>1</w:t>
            </w:r>
            <w:r w:rsidRPr="0098368D">
              <w:rPr>
                <w:rFonts w:cs="Arial"/>
              </w:rPr>
              <w:t xml:space="preserve"> (psi)</w:t>
            </w:r>
          </w:p>
        </w:tc>
        <w:tc>
          <w:tcPr>
            <w:tcW w:w="1626" w:type="dxa"/>
            <w:vAlign w:val="center"/>
          </w:tcPr>
          <w:p w14:paraId="374996F9" w14:textId="77777777" w:rsidR="00DB6ADC" w:rsidRPr="00F63603" w:rsidRDefault="00DB6ADC" w:rsidP="008B66C4">
            <w:pPr>
              <w:pStyle w:val="ListParagraph"/>
              <w:ind w:left="0"/>
              <w:jc w:val="center"/>
              <w:rPr>
                <w:rFonts w:cs="Arial"/>
                <w:sz w:val="20"/>
                <w:szCs w:val="20"/>
              </w:rPr>
            </w:pPr>
            <w:r w:rsidRPr="00F63603">
              <w:rPr>
                <w:rFonts w:cs="Arial"/>
                <w:sz w:val="20"/>
                <w:szCs w:val="20"/>
              </w:rPr>
              <w:t>ASTM D7269</w:t>
            </w:r>
          </w:p>
        </w:tc>
        <w:tc>
          <w:tcPr>
            <w:tcW w:w="3442" w:type="dxa"/>
            <w:tcBorders>
              <w:right w:val="single" w:sz="12" w:space="0" w:color="auto"/>
            </w:tcBorders>
            <w:vAlign w:val="center"/>
          </w:tcPr>
          <w:p w14:paraId="1D319771" w14:textId="77777777" w:rsidR="00DB6ADC" w:rsidRPr="0098368D" w:rsidRDefault="00DB6ADC" w:rsidP="008B66C4">
            <w:pPr>
              <w:pStyle w:val="ListParagraph"/>
              <w:ind w:left="0"/>
              <w:jc w:val="center"/>
              <w:rPr>
                <w:rFonts w:cs="Arial"/>
              </w:rPr>
            </w:pPr>
            <w:r w:rsidRPr="0098368D">
              <w:rPr>
                <w:rFonts w:cs="Arial"/>
              </w:rPr>
              <w:t>400,000</w:t>
            </w:r>
          </w:p>
        </w:tc>
      </w:tr>
    </w:tbl>
    <w:p w14:paraId="0BE2BB26" w14:textId="77777777" w:rsidR="00DB6ADC" w:rsidRPr="005F4BF9" w:rsidRDefault="00DB6ADC" w:rsidP="00DB6ADC">
      <w:pPr>
        <w:spacing w:after="120"/>
        <w:rPr>
          <w:rFonts w:cs="Arial"/>
          <w:sz w:val="20"/>
        </w:rPr>
      </w:pPr>
      <w:r>
        <w:rPr>
          <w:rFonts w:cs="Arial"/>
        </w:rPr>
        <w:t xml:space="preserve"> </w:t>
      </w:r>
    </w:p>
    <w:p w14:paraId="14326777" w14:textId="77777777" w:rsidR="00DB6ADC" w:rsidRPr="00C915B5" w:rsidRDefault="00DB6ADC" w:rsidP="008329F6">
      <w:pPr>
        <w:pStyle w:val="ListParagraph"/>
        <w:numPr>
          <w:ilvl w:val="1"/>
          <w:numId w:val="5"/>
        </w:numPr>
        <w:tabs>
          <w:tab w:val="left" w:pos="450"/>
        </w:tabs>
        <w:ind w:left="0" w:firstLine="0"/>
        <w:rPr>
          <w:rFonts w:cs="Arial"/>
          <w:b/>
          <w:szCs w:val="22"/>
        </w:rPr>
      </w:pPr>
      <w:r w:rsidRPr="00C915B5">
        <w:rPr>
          <w:rFonts w:cs="Arial"/>
          <w:b/>
          <w:szCs w:val="22"/>
        </w:rPr>
        <w:t>Performance Testing</w:t>
      </w:r>
      <w:r w:rsidRPr="00C915B5">
        <w:rPr>
          <w:rFonts w:cs="Arial"/>
          <w:szCs w:val="22"/>
        </w:rPr>
        <w:t>.  A FRAC mixture shall meet the following performance test</w:t>
      </w:r>
      <w:r>
        <w:rPr>
          <w:rFonts w:cs="Arial"/>
          <w:szCs w:val="22"/>
        </w:rPr>
        <w:t xml:space="preserve"> detailed in Table 2 below</w:t>
      </w:r>
      <w:r w:rsidRPr="00C915B5">
        <w:rPr>
          <w:rFonts w:cs="Arial"/>
          <w:szCs w:val="22"/>
        </w:rPr>
        <w:t>.  Non-aramid fiber blends will not be considered alternatives to this specification.</w:t>
      </w:r>
      <w:r>
        <w:rPr>
          <w:rFonts w:cs="Arial"/>
          <w:szCs w:val="22"/>
        </w:rPr>
        <w:t xml:space="preserve">  All performance testing results from previous laboratory trial FRAC mixtures shall be submitted to the engineer along with the job mix formula.</w:t>
      </w:r>
    </w:p>
    <w:p w14:paraId="6CB7FEB8" w14:textId="77777777" w:rsidR="00DB6ADC" w:rsidRDefault="00DB6ADC" w:rsidP="00DB6ADC">
      <w:pPr>
        <w:pStyle w:val="ListParagraph"/>
        <w:ind w:left="405"/>
        <w:rPr>
          <w:rFonts w:cs="Arial"/>
          <w:szCs w:val="22"/>
        </w:rPr>
      </w:pPr>
    </w:p>
    <w:tbl>
      <w:tblPr>
        <w:tblStyle w:val="TableGrid"/>
        <w:tblW w:w="8735" w:type="dxa"/>
        <w:jc w:val="center"/>
        <w:tblLook w:val="04A0" w:firstRow="1" w:lastRow="0" w:firstColumn="1" w:lastColumn="0" w:noHBand="0" w:noVBand="1"/>
      </w:tblPr>
      <w:tblGrid>
        <w:gridCol w:w="2784"/>
        <w:gridCol w:w="2214"/>
        <w:gridCol w:w="1800"/>
        <w:gridCol w:w="1937"/>
      </w:tblGrid>
      <w:tr w:rsidR="00DB6ADC" w:rsidRPr="00587844" w14:paraId="30A954FE" w14:textId="77777777" w:rsidTr="008B66C4">
        <w:trPr>
          <w:trHeight w:val="332"/>
          <w:jc w:val="center"/>
        </w:trPr>
        <w:tc>
          <w:tcPr>
            <w:tcW w:w="8735" w:type="dxa"/>
            <w:gridSpan w:val="4"/>
            <w:tcBorders>
              <w:top w:val="single" w:sz="12" w:space="0" w:color="auto"/>
              <w:left w:val="single" w:sz="12" w:space="0" w:color="auto"/>
              <w:bottom w:val="single" w:sz="12" w:space="0" w:color="auto"/>
              <w:right w:val="single" w:sz="12" w:space="0" w:color="auto"/>
            </w:tcBorders>
            <w:vAlign w:val="center"/>
          </w:tcPr>
          <w:p w14:paraId="69B3C56A" w14:textId="77777777" w:rsidR="00DB6ADC" w:rsidRPr="00587844" w:rsidRDefault="00DB6ADC" w:rsidP="008B66C4">
            <w:pPr>
              <w:pStyle w:val="ListParagraph"/>
              <w:ind w:left="0"/>
              <w:jc w:val="center"/>
              <w:rPr>
                <w:rFonts w:cs="Arial"/>
                <w:b/>
              </w:rPr>
            </w:pPr>
            <w:r>
              <w:rPr>
                <w:rFonts w:cs="Arial"/>
                <w:b/>
              </w:rPr>
              <w:t>Table 2 – FRAC Mixture Performance Requirements</w:t>
            </w:r>
          </w:p>
        </w:tc>
      </w:tr>
      <w:tr w:rsidR="00DB6ADC" w:rsidRPr="00693DC1" w14:paraId="316BDE9E" w14:textId="77777777" w:rsidTr="008B66C4">
        <w:trPr>
          <w:trHeight w:val="357"/>
          <w:jc w:val="center"/>
        </w:trPr>
        <w:tc>
          <w:tcPr>
            <w:tcW w:w="2784" w:type="dxa"/>
            <w:tcBorders>
              <w:top w:val="single" w:sz="12" w:space="0" w:color="auto"/>
              <w:left w:val="single" w:sz="12" w:space="0" w:color="auto"/>
            </w:tcBorders>
            <w:vAlign w:val="center"/>
          </w:tcPr>
          <w:p w14:paraId="6B2E53CF" w14:textId="77777777" w:rsidR="00DB6ADC" w:rsidRPr="00693DC1" w:rsidRDefault="00DB6ADC" w:rsidP="008B66C4">
            <w:pPr>
              <w:pStyle w:val="ListParagraph"/>
              <w:ind w:left="0"/>
              <w:jc w:val="center"/>
              <w:rPr>
                <w:rFonts w:cs="Arial"/>
                <w:b/>
              </w:rPr>
            </w:pPr>
            <w:r>
              <w:rPr>
                <w:rFonts w:cs="Arial"/>
                <w:b/>
              </w:rPr>
              <w:t>Performance Measure</w:t>
            </w:r>
          </w:p>
        </w:tc>
        <w:tc>
          <w:tcPr>
            <w:tcW w:w="2214" w:type="dxa"/>
            <w:tcBorders>
              <w:top w:val="single" w:sz="12" w:space="0" w:color="auto"/>
            </w:tcBorders>
            <w:vAlign w:val="center"/>
          </w:tcPr>
          <w:p w14:paraId="6B522D99" w14:textId="77777777" w:rsidR="00DB6ADC" w:rsidRPr="00693DC1" w:rsidRDefault="00DB6ADC" w:rsidP="008B66C4">
            <w:pPr>
              <w:pStyle w:val="ListParagraph"/>
              <w:ind w:left="0"/>
              <w:jc w:val="center"/>
              <w:rPr>
                <w:rFonts w:cs="Arial"/>
                <w:b/>
              </w:rPr>
            </w:pPr>
            <w:r>
              <w:rPr>
                <w:rFonts w:cs="Arial"/>
                <w:b/>
              </w:rPr>
              <w:t>Test Method</w:t>
            </w:r>
          </w:p>
        </w:tc>
        <w:tc>
          <w:tcPr>
            <w:tcW w:w="1800" w:type="dxa"/>
            <w:tcBorders>
              <w:top w:val="single" w:sz="12" w:space="0" w:color="auto"/>
            </w:tcBorders>
            <w:vAlign w:val="center"/>
          </w:tcPr>
          <w:p w14:paraId="4AAC3B18" w14:textId="77777777" w:rsidR="00DB6ADC" w:rsidRPr="00693DC1" w:rsidRDefault="00DB6ADC" w:rsidP="008B66C4">
            <w:pPr>
              <w:pStyle w:val="ListParagraph"/>
              <w:ind w:left="0"/>
              <w:jc w:val="center"/>
              <w:rPr>
                <w:rFonts w:cs="Arial"/>
                <w:b/>
              </w:rPr>
            </w:pPr>
            <w:r>
              <w:rPr>
                <w:rFonts w:cs="Arial"/>
                <w:b/>
              </w:rPr>
              <w:t>Standard</w:t>
            </w:r>
          </w:p>
        </w:tc>
        <w:tc>
          <w:tcPr>
            <w:tcW w:w="1937" w:type="dxa"/>
            <w:tcBorders>
              <w:top w:val="single" w:sz="12" w:space="0" w:color="auto"/>
              <w:right w:val="single" w:sz="12" w:space="0" w:color="auto"/>
            </w:tcBorders>
            <w:vAlign w:val="center"/>
          </w:tcPr>
          <w:p w14:paraId="4C63F2F1" w14:textId="77777777" w:rsidR="00DB6ADC" w:rsidRPr="00693DC1" w:rsidRDefault="00DB6ADC" w:rsidP="008B66C4">
            <w:pPr>
              <w:pStyle w:val="ListParagraph"/>
              <w:ind w:left="0"/>
              <w:jc w:val="center"/>
              <w:rPr>
                <w:rFonts w:cs="Arial"/>
                <w:b/>
              </w:rPr>
            </w:pPr>
            <w:r>
              <w:rPr>
                <w:rFonts w:cs="Arial"/>
                <w:b/>
              </w:rPr>
              <w:t>Requirement</w:t>
            </w:r>
          </w:p>
        </w:tc>
      </w:tr>
      <w:tr w:rsidR="00DB6ADC" w:rsidRPr="00BD36A4" w14:paraId="76F442E9" w14:textId="77777777" w:rsidTr="008B66C4">
        <w:trPr>
          <w:trHeight w:val="70"/>
          <w:jc w:val="center"/>
        </w:trPr>
        <w:tc>
          <w:tcPr>
            <w:tcW w:w="2784" w:type="dxa"/>
            <w:tcBorders>
              <w:left w:val="single" w:sz="12" w:space="0" w:color="auto"/>
            </w:tcBorders>
            <w:vAlign w:val="center"/>
          </w:tcPr>
          <w:p w14:paraId="12482FCA" w14:textId="77777777" w:rsidR="00DB6ADC" w:rsidRPr="0098368D" w:rsidRDefault="00DB6ADC" w:rsidP="008B66C4">
            <w:pPr>
              <w:pStyle w:val="ListParagraph"/>
              <w:ind w:left="0"/>
              <w:jc w:val="center"/>
              <w:rPr>
                <w:rFonts w:cs="Arial"/>
              </w:rPr>
            </w:pPr>
            <w:r>
              <w:rPr>
                <w:rFonts w:cs="Arial"/>
              </w:rPr>
              <w:t>Dispersion Efficiency, %</w:t>
            </w:r>
          </w:p>
        </w:tc>
        <w:tc>
          <w:tcPr>
            <w:tcW w:w="2214" w:type="dxa"/>
            <w:vAlign w:val="center"/>
          </w:tcPr>
          <w:p w14:paraId="765E0A6F" w14:textId="77777777" w:rsidR="00DB6ADC" w:rsidRPr="00612ED9" w:rsidRDefault="00DB6ADC" w:rsidP="008B66C4">
            <w:pPr>
              <w:pStyle w:val="ListParagraph"/>
              <w:spacing w:after="200" w:line="276" w:lineRule="auto"/>
              <w:ind w:left="0"/>
              <w:jc w:val="center"/>
              <w:rPr>
                <w:rFonts w:cs="Arial"/>
                <w:szCs w:val="22"/>
              </w:rPr>
            </w:pPr>
            <w:r w:rsidRPr="00612ED9">
              <w:rPr>
                <w:rFonts w:cs="Arial"/>
                <w:szCs w:val="22"/>
              </w:rPr>
              <w:t>Ar</w:t>
            </w:r>
            <w:r>
              <w:rPr>
                <w:rFonts w:cs="Arial"/>
                <w:szCs w:val="22"/>
              </w:rPr>
              <w:t>amid Dispersion State Ratio (ADSR)</w:t>
            </w:r>
          </w:p>
        </w:tc>
        <w:tc>
          <w:tcPr>
            <w:tcW w:w="1800" w:type="dxa"/>
            <w:vAlign w:val="center"/>
          </w:tcPr>
          <w:p w14:paraId="10C32B0E" w14:textId="77777777" w:rsidR="00DB6ADC" w:rsidRPr="00BD36A4" w:rsidRDefault="00DB6ADC" w:rsidP="008B66C4">
            <w:pPr>
              <w:pStyle w:val="ListParagraph"/>
              <w:ind w:left="0"/>
              <w:jc w:val="center"/>
              <w:rPr>
                <w:rFonts w:cs="Arial"/>
                <w:szCs w:val="22"/>
              </w:rPr>
            </w:pPr>
            <w:r>
              <w:rPr>
                <w:rFonts w:cs="Arial"/>
                <w:szCs w:val="22"/>
              </w:rPr>
              <w:t>Modified ASTM D2172</w:t>
            </w:r>
          </w:p>
        </w:tc>
        <w:tc>
          <w:tcPr>
            <w:tcW w:w="1937" w:type="dxa"/>
            <w:tcBorders>
              <w:right w:val="single" w:sz="12" w:space="0" w:color="auto"/>
            </w:tcBorders>
            <w:vAlign w:val="center"/>
          </w:tcPr>
          <w:p w14:paraId="2A576CC3" w14:textId="77777777" w:rsidR="00DB6ADC" w:rsidRPr="00BD36A4" w:rsidRDefault="00DB6ADC" w:rsidP="008B66C4">
            <w:pPr>
              <w:pStyle w:val="ListParagraph"/>
              <w:ind w:left="0"/>
              <w:jc w:val="center"/>
              <w:rPr>
                <w:rFonts w:cs="Arial"/>
                <w:szCs w:val="22"/>
              </w:rPr>
            </w:pPr>
            <w:r>
              <w:rPr>
                <w:rFonts w:cs="Arial"/>
                <w:szCs w:val="22"/>
              </w:rPr>
              <w:t>≥ 85 %</w:t>
            </w:r>
          </w:p>
        </w:tc>
      </w:tr>
      <w:tr w:rsidR="00DB6ADC" w:rsidRPr="00BD36A4" w14:paraId="2C29DBFC" w14:textId="77777777" w:rsidTr="008B66C4">
        <w:trPr>
          <w:trHeight w:val="458"/>
          <w:jc w:val="center"/>
        </w:trPr>
        <w:tc>
          <w:tcPr>
            <w:tcW w:w="2784" w:type="dxa"/>
            <w:tcBorders>
              <w:left w:val="single" w:sz="12" w:space="0" w:color="auto"/>
            </w:tcBorders>
            <w:vAlign w:val="center"/>
          </w:tcPr>
          <w:p w14:paraId="13B7EF31" w14:textId="77777777" w:rsidR="00DB6ADC" w:rsidRDefault="00DB6ADC" w:rsidP="008B66C4">
            <w:pPr>
              <w:pStyle w:val="ListParagraph"/>
              <w:ind w:left="0"/>
              <w:jc w:val="center"/>
              <w:rPr>
                <w:rFonts w:cs="Arial"/>
              </w:rPr>
            </w:pPr>
            <w:r>
              <w:rPr>
                <w:rFonts w:cs="Arial"/>
              </w:rPr>
              <w:t>Cracking Resistance, % increase</w:t>
            </w:r>
          </w:p>
        </w:tc>
        <w:tc>
          <w:tcPr>
            <w:tcW w:w="2214" w:type="dxa"/>
            <w:vAlign w:val="center"/>
          </w:tcPr>
          <w:p w14:paraId="125FD8BC" w14:textId="77777777" w:rsidR="00DB6ADC" w:rsidRPr="00612ED9" w:rsidRDefault="00DB6ADC" w:rsidP="008B66C4">
            <w:pPr>
              <w:pStyle w:val="ListParagraph"/>
              <w:spacing w:after="200" w:line="276" w:lineRule="auto"/>
              <w:ind w:left="0"/>
              <w:jc w:val="center"/>
              <w:rPr>
                <w:rFonts w:cs="Arial"/>
                <w:szCs w:val="22"/>
              </w:rPr>
            </w:pPr>
            <w:r w:rsidRPr="00612ED9">
              <w:rPr>
                <w:rFonts w:cs="Arial"/>
                <w:szCs w:val="22"/>
              </w:rPr>
              <w:t>Indirect</w:t>
            </w:r>
            <w:r>
              <w:rPr>
                <w:rFonts w:cs="Arial"/>
                <w:szCs w:val="22"/>
              </w:rPr>
              <w:t xml:space="preserve"> Tensile Strength (IDT)</w:t>
            </w:r>
          </w:p>
        </w:tc>
        <w:tc>
          <w:tcPr>
            <w:tcW w:w="1800" w:type="dxa"/>
            <w:vAlign w:val="center"/>
          </w:tcPr>
          <w:p w14:paraId="020A650A" w14:textId="77777777" w:rsidR="00DB6ADC" w:rsidRPr="00BD36A4" w:rsidRDefault="00DB6ADC" w:rsidP="008B66C4">
            <w:pPr>
              <w:pStyle w:val="ListParagraph"/>
              <w:ind w:left="0"/>
              <w:jc w:val="center"/>
              <w:rPr>
                <w:rFonts w:cs="Arial"/>
                <w:szCs w:val="22"/>
              </w:rPr>
            </w:pPr>
            <w:r>
              <w:rPr>
                <w:rFonts w:cs="Arial"/>
                <w:szCs w:val="22"/>
              </w:rPr>
              <w:t>AASHTO T 322 or ASTM D6931</w:t>
            </w:r>
          </w:p>
        </w:tc>
        <w:tc>
          <w:tcPr>
            <w:tcW w:w="1937" w:type="dxa"/>
            <w:tcBorders>
              <w:right w:val="single" w:sz="12" w:space="0" w:color="auto"/>
            </w:tcBorders>
            <w:vAlign w:val="center"/>
          </w:tcPr>
          <w:p w14:paraId="63D2E1B6" w14:textId="77777777" w:rsidR="00DB6ADC" w:rsidRPr="00BD36A4" w:rsidRDefault="00DB6ADC" w:rsidP="008B66C4">
            <w:pPr>
              <w:pStyle w:val="ListParagraph"/>
              <w:ind w:left="0"/>
              <w:jc w:val="center"/>
              <w:rPr>
                <w:rFonts w:cs="Arial"/>
                <w:szCs w:val="22"/>
              </w:rPr>
            </w:pPr>
            <w:r>
              <w:rPr>
                <w:rFonts w:cs="Arial"/>
                <w:szCs w:val="22"/>
              </w:rPr>
              <w:t>≥ 20 % increase</w:t>
            </w:r>
          </w:p>
        </w:tc>
      </w:tr>
      <w:tr w:rsidR="00DB6ADC" w:rsidRPr="00C2246A" w14:paraId="27985052" w14:textId="77777777" w:rsidTr="008B66C4">
        <w:trPr>
          <w:trHeight w:val="458"/>
          <w:jc w:val="center"/>
        </w:trPr>
        <w:tc>
          <w:tcPr>
            <w:tcW w:w="2784" w:type="dxa"/>
            <w:vMerge w:val="restart"/>
            <w:tcBorders>
              <w:left w:val="single" w:sz="12" w:space="0" w:color="auto"/>
            </w:tcBorders>
            <w:vAlign w:val="center"/>
          </w:tcPr>
          <w:p w14:paraId="5CE92D5C" w14:textId="77777777" w:rsidR="00DB6ADC" w:rsidRDefault="00DB6ADC" w:rsidP="008B66C4">
            <w:pPr>
              <w:pStyle w:val="ListParagraph"/>
              <w:ind w:left="0"/>
              <w:jc w:val="center"/>
              <w:rPr>
                <w:rFonts w:cs="Arial"/>
              </w:rPr>
            </w:pPr>
            <w:r>
              <w:rPr>
                <w:rFonts w:cs="Arial"/>
              </w:rPr>
              <w:t>Resistance to Permanent Deformation (Rutting)</w:t>
            </w:r>
          </w:p>
        </w:tc>
        <w:tc>
          <w:tcPr>
            <w:tcW w:w="2214" w:type="dxa"/>
            <w:vAlign w:val="center"/>
          </w:tcPr>
          <w:p w14:paraId="787E01F4" w14:textId="77777777" w:rsidR="00DB6ADC" w:rsidRPr="00612ED9" w:rsidRDefault="00DB6ADC" w:rsidP="008B66C4">
            <w:pPr>
              <w:pStyle w:val="ListParagraph"/>
              <w:spacing w:after="200" w:line="276" w:lineRule="auto"/>
              <w:ind w:left="0"/>
              <w:jc w:val="center"/>
              <w:rPr>
                <w:rFonts w:cs="Arial"/>
                <w:szCs w:val="22"/>
              </w:rPr>
            </w:pPr>
            <w:r>
              <w:rPr>
                <w:rFonts w:cs="Arial"/>
                <w:szCs w:val="22"/>
              </w:rPr>
              <w:t>Flow Number</w:t>
            </w:r>
          </w:p>
        </w:tc>
        <w:tc>
          <w:tcPr>
            <w:tcW w:w="1800" w:type="dxa"/>
            <w:vAlign w:val="center"/>
          </w:tcPr>
          <w:p w14:paraId="151DDE30" w14:textId="77777777" w:rsidR="00DB6ADC" w:rsidRPr="00BD36A4" w:rsidRDefault="00DB6ADC" w:rsidP="008B66C4">
            <w:pPr>
              <w:pStyle w:val="ListParagraph"/>
              <w:ind w:left="0"/>
              <w:jc w:val="center"/>
              <w:rPr>
                <w:rFonts w:cs="Arial"/>
                <w:szCs w:val="22"/>
              </w:rPr>
            </w:pPr>
            <w:r>
              <w:rPr>
                <w:rFonts w:cs="Arial"/>
                <w:szCs w:val="22"/>
              </w:rPr>
              <w:t>AASHTO TP 79</w:t>
            </w:r>
          </w:p>
        </w:tc>
        <w:tc>
          <w:tcPr>
            <w:tcW w:w="1937" w:type="dxa"/>
            <w:tcBorders>
              <w:right w:val="single" w:sz="12" w:space="0" w:color="auto"/>
            </w:tcBorders>
            <w:vAlign w:val="center"/>
          </w:tcPr>
          <w:p w14:paraId="35E1842C" w14:textId="77777777" w:rsidR="00DB6ADC" w:rsidRPr="00C2246A" w:rsidRDefault="00DB6ADC" w:rsidP="008B66C4">
            <w:pPr>
              <w:pStyle w:val="ListParagraph"/>
              <w:ind w:left="0"/>
              <w:jc w:val="center"/>
              <w:rPr>
                <w:rFonts w:cs="Arial"/>
                <w:szCs w:val="22"/>
              </w:rPr>
            </w:pPr>
            <w:r>
              <w:rPr>
                <w:rFonts w:cs="Arial"/>
                <w:szCs w:val="22"/>
              </w:rPr>
              <w:t>≥ 35 % increase</w:t>
            </w:r>
          </w:p>
        </w:tc>
      </w:tr>
      <w:tr w:rsidR="00DB6ADC" w:rsidRPr="00C2246A" w14:paraId="0DFE2B33" w14:textId="77777777" w:rsidTr="008B66C4">
        <w:trPr>
          <w:trHeight w:val="458"/>
          <w:jc w:val="center"/>
        </w:trPr>
        <w:tc>
          <w:tcPr>
            <w:tcW w:w="2784" w:type="dxa"/>
            <w:vMerge/>
            <w:tcBorders>
              <w:left w:val="single" w:sz="12" w:space="0" w:color="auto"/>
            </w:tcBorders>
            <w:vAlign w:val="center"/>
          </w:tcPr>
          <w:p w14:paraId="194E2672" w14:textId="77777777" w:rsidR="00DB6ADC" w:rsidRPr="00A3750A" w:rsidRDefault="00DB6ADC" w:rsidP="008B66C4">
            <w:pPr>
              <w:pStyle w:val="ListParagraph"/>
              <w:ind w:left="0"/>
              <w:jc w:val="center"/>
              <w:rPr>
                <w:rFonts w:cs="Arial"/>
              </w:rPr>
            </w:pPr>
          </w:p>
        </w:tc>
        <w:tc>
          <w:tcPr>
            <w:tcW w:w="2214" w:type="dxa"/>
            <w:vAlign w:val="center"/>
          </w:tcPr>
          <w:p w14:paraId="66258FEB" w14:textId="77777777" w:rsidR="00DB6ADC" w:rsidRPr="00612ED9" w:rsidRDefault="00DB6ADC" w:rsidP="008B66C4">
            <w:pPr>
              <w:pStyle w:val="ListParagraph"/>
              <w:spacing w:after="200" w:line="276" w:lineRule="auto"/>
              <w:ind w:left="0"/>
              <w:jc w:val="center"/>
              <w:rPr>
                <w:rFonts w:cs="Arial"/>
                <w:szCs w:val="22"/>
              </w:rPr>
            </w:pPr>
            <w:r>
              <w:rPr>
                <w:rFonts w:cs="Arial"/>
                <w:szCs w:val="22"/>
              </w:rPr>
              <w:t>Hamburg</w:t>
            </w:r>
          </w:p>
        </w:tc>
        <w:tc>
          <w:tcPr>
            <w:tcW w:w="1800" w:type="dxa"/>
            <w:vAlign w:val="center"/>
          </w:tcPr>
          <w:p w14:paraId="4A0F2687" w14:textId="77777777" w:rsidR="00DB6ADC" w:rsidRPr="00BD36A4" w:rsidRDefault="00DB6ADC" w:rsidP="008B66C4">
            <w:pPr>
              <w:pStyle w:val="ListParagraph"/>
              <w:ind w:left="0"/>
              <w:jc w:val="center"/>
              <w:rPr>
                <w:rFonts w:cs="Arial"/>
                <w:szCs w:val="22"/>
              </w:rPr>
            </w:pPr>
            <w:r>
              <w:rPr>
                <w:rFonts w:cs="Arial"/>
                <w:szCs w:val="22"/>
              </w:rPr>
              <w:t>AASHTO T 324</w:t>
            </w:r>
          </w:p>
        </w:tc>
        <w:tc>
          <w:tcPr>
            <w:tcW w:w="1937" w:type="dxa"/>
            <w:tcBorders>
              <w:right w:val="single" w:sz="12" w:space="0" w:color="auto"/>
            </w:tcBorders>
            <w:vAlign w:val="center"/>
          </w:tcPr>
          <w:p w14:paraId="4245E20F" w14:textId="77777777" w:rsidR="00DB6ADC" w:rsidRPr="00C2246A" w:rsidRDefault="00DB6ADC" w:rsidP="008B66C4">
            <w:pPr>
              <w:pStyle w:val="ListParagraph"/>
              <w:ind w:left="0"/>
              <w:jc w:val="center"/>
              <w:rPr>
                <w:rFonts w:cs="Arial"/>
                <w:szCs w:val="22"/>
              </w:rPr>
            </w:pPr>
            <w:r>
              <w:rPr>
                <w:rFonts w:cs="Arial"/>
                <w:szCs w:val="22"/>
              </w:rPr>
              <w:t>&lt; 3 mm</w:t>
            </w:r>
          </w:p>
        </w:tc>
      </w:tr>
    </w:tbl>
    <w:p w14:paraId="6ACBFD85" w14:textId="77777777" w:rsidR="00DB6ADC" w:rsidRDefault="00DB6ADC" w:rsidP="00DB6ADC">
      <w:pPr>
        <w:pStyle w:val="ListParagraph"/>
        <w:ind w:left="405"/>
        <w:rPr>
          <w:rFonts w:cs="Arial"/>
          <w:szCs w:val="22"/>
        </w:rPr>
      </w:pPr>
    </w:p>
    <w:p w14:paraId="2EC9C7C9" w14:textId="088FB1E0" w:rsidR="00DB6ADC" w:rsidRDefault="00DB6ADC">
      <w:pPr>
        <w:rPr>
          <w:rFonts w:cs="Arial"/>
          <w:szCs w:val="22"/>
        </w:rPr>
      </w:pPr>
      <w:r w:rsidRPr="00C915B5">
        <w:rPr>
          <w:rFonts w:cs="Arial"/>
          <w:szCs w:val="22"/>
        </w:rPr>
        <w:t xml:space="preserve">Performance testing </w:t>
      </w:r>
      <w:r>
        <w:rPr>
          <w:rFonts w:cs="Arial"/>
          <w:szCs w:val="22"/>
        </w:rPr>
        <w:t>shall be from previous completed laboratory trials performed on plan</w:t>
      </w:r>
      <w:r w:rsidR="00E00E96">
        <w:rPr>
          <w:rFonts w:cs="Arial"/>
          <w:szCs w:val="22"/>
        </w:rPr>
        <w:t>t</w:t>
      </w:r>
      <w:r>
        <w:rPr>
          <w:rFonts w:cs="Arial"/>
          <w:szCs w:val="22"/>
        </w:rPr>
        <w:t xml:space="preserve"> mixed FRAC.  Testing is not required on samples from the job mix.  Performance testing shall be from laboratory trials </w:t>
      </w:r>
      <w:r w:rsidRPr="00C915B5">
        <w:rPr>
          <w:rFonts w:cs="Arial"/>
          <w:szCs w:val="22"/>
        </w:rPr>
        <w:t xml:space="preserve">at a fiber dosage rate equal to the rate proposed for the project.  Tests must be performed by an AASHTO accredited testing lab and must be reviewed and approved by the engineer. </w:t>
      </w:r>
    </w:p>
    <w:p w14:paraId="0E02363A" w14:textId="77777777" w:rsidR="00DB6ADC" w:rsidRDefault="00DB6ADC">
      <w:pPr>
        <w:rPr>
          <w:rFonts w:cs="Arial"/>
          <w:szCs w:val="22"/>
        </w:rPr>
      </w:pPr>
    </w:p>
    <w:p w14:paraId="05E6F823" w14:textId="77777777" w:rsidR="00DB6ADC" w:rsidRDefault="00DB6ADC">
      <w:pPr>
        <w:rPr>
          <w:rFonts w:cs="Arial"/>
          <w:szCs w:val="22"/>
        </w:rPr>
      </w:pPr>
      <w:r>
        <w:rPr>
          <w:rFonts w:cs="Arial"/>
          <w:szCs w:val="22"/>
        </w:rPr>
        <w:t>Aramid Dispersion State Ratio (ADSR) tests shall be conducted from a minimum of three separate laboratory FRAC trials in accordance with the following:</w:t>
      </w:r>
    </w:p>
    <w:p w14:paraId="08C9F883" w14:textId="77777777" w:rsidR="00DB6ADC" w:rsidRDefault="00DB6ADC" w:rsidP="008329F6">
      <w:pPr>
        <w:pStyle w:val="ListParagraph"/>
        <w:numPr>
          <w:ilvl w:val="0"/>
          <w:numId w:val="9"/>
        </w:numPr>
        <w:ind w:left="720"/>
        <w:rPr>
          <w:rFonts w:cs="Arial"/>
          <w:szCs w:val="22"/>
        </w:rPr>
      </w:pPr>
      <w:r>
        <w:rPr>
          <w:rFonts w:cs="Arial"/>
          <w:szCs w:val="22"/>
        </w:rPr>
        <w:t xml:space="preserve">Perform ADSR test in accordance with Modified ASTM D2172 (test method documentation available in the Electronic Deliverables).  </w:t>
      </w:r>
    </w:p>
    <w:p w14:paraId="474F69FE" w14:textId="77777777" w:rsidR="00DB6ADC" w:rsidRDefault="00DB6ADC" w:rsidP="008329F6">
      <w:pPr>
        <w:pStyle w:val="ListParagraph"/>
        <w:numPr>
          <w:ilvl w:val="0"/>
          <w:numId w:val="9"/>
        </w:numPr>
        <w:ind w:left="720"/>
        <w:rPr>
          <w:rFonts w:cs="Arial"/>
          <w:szCs w:val="22"/>
        </w:rPr>
      </w:pPr>
      <w:r>
        <w:rPr>
          <w:rFonts w:cs="Arial"/>
          <w:szCs w:val="22"/>
        </w:rPr>
        <w:lastRenderedPageBreak/>
        <w:t>The average extracted aramid fiber quantity shall equal 0.007 percent by total sample weight with no individual result less than 0.005 percent of the total sample weight.</w:t>
      </w:r>
    </w:p>
    <w:p w14:paraId="4CA21C26" w14:textId="57D31CBE" w:rsidR="00DB6ADC" w:rsidRDefault="00DB6ADC" w:rsidP="00E12E43">
      <w:pPr>
        <w:pStyle w:val="ListParagraph"/>
        <w:numPr>
          <w:ilvl w:val="0"/>
          <w:numId w:val="9"/>
        </w:numPr>
        <w:ind w:left="720"/>
        <w:rPr>
          <w:rFonts w:cs="Arial"/>
          <w:szCs w:val="22"/>
        </w:rPr>
      </w:pPr>
      <w:r>
        <w:rPr>
          <w:rFonts w:cs="Arial"/>
          <w:szCs w:val="22"/>
        </w:rPr>
        <w:t>All tested fiber mixes shall achieve a minimum ADSR of 85%.</w:t>
      </w:r>
    </w:p>
    <w:p w14:paraId="59027A84" w14:textId="77777777" w:rsidR="00E12E43" w:rsidRPr="00E12E43" w:rsidRDefault="00E12E43" w:rsidP="008329F6">
      <w:pPr>
        <w:tabs>
          <w:tab w:val="left" w:pos="1170"/>
        </w:tabs>
        <w:ind w:left="360"/>
        <w:rPr>
          <w:rFonts w:cs="Arial"/>
          <w:szCs w:val="22"/>
        </w:rPr>
      </w:pPr>
    </w:p>
    <w:p w14:paraId="021EC6B5" w14:textId="77777777" w:rsidR="00DB6ADC" w:rsidRDefault="00DB6ADC" w:rsidP="00DB6ADC">
      <w:pPr>
        <w:autoSpaceDE w:val="0"/>
        <w:autoSpaceDN w:val="0"/>
        <w:adjustRightInd w:val="0"/>
        <w:contextualSpacing/>
        <w:rPr>
          <w:rFonts w:cs="Arial"/>
          <w:color w:val="000000"/>
          <w:szCs w:val="22"/>
        </w:rPr>
      </w:pPr>
      <w:r w:rsidRPr="00C915B5">
        <w:rPr>
          <w:rFonts w:cs="Arial"/>
          <w:color w:val="000000"/>
          <w:szCs w:val="22"/>
        </w:rPr>
        <w:t xml:space="preserve">Indirect Tensile (IDT) Strength Tests </w:t>
      </w:r>
      <w:r>
        <w:rPr>
          <w:rFonts w:cs="Arial"/>
          <w:color w:val="000000"/>
          <w:szCs w:val="22"/>
        </w:rPr>
        <w:t xml:space="preserve">shall be conducted </w:t>
      </w:r>
      <w:r w:rsidRPr="00C915B5">
        <w:rPr>
          <w:rFonts w:cs="Arial"/>
          <w:color w:val="000000"/>
          <w:szCs w:val="22"/>
        </w:rPr>
        <w:t>from a minimum of three (3) separate laboratory trials</w:t>
      </w:r>
      <w:r>
        <w:rPr>
          <w:rFonts w:cs="Arial"/>
          <w:color w:val="000000"/>
          <w:szCs w:val="22"/>
        </w:rPr>
        <w:t xml:space="preserve"> in accordance with the following:</w:t>
      </w:r>
    </w:p>
    <w:p w14:paraId="71B9CC9E" w14:textId="77777777" w:rsidR="00DB6ADC" w:rsidRDefault="00DB6ADC" w:rsidP="00DB6ADC">
      <w:pPr>
        <w:autoSpaceDE w:val="0"/>
        <w:autoSpaceDN w:val="0"/>
        <w:adjustRightInd w:val="0"/>
        <w:contextualSpacing/>
        <w:rPr>
          <w:rFonts w:cs="Arial"/>
          <w:color w:val="000000"/>
          <w:szCs w:val="22"/>
        </w:rPr>
      </w:pPr>
    </w:p>
    <w:p w14:paraId="7FEBB272" w14:textId="77777777" w:rsidR="00DB6ADC" w:rsidRPr="00C915B5" w:rsidRDefault="00DB6ADC" w:rsidP="008329F6">
      <w:pPr>
        <w:numPr>
          <w:ilvl w:val="0"/>
          <w:numId w:val="6"/>
        </w:numPr>
        <w:autoSpaceDE w:val="0"/>
        <w:autoSpaceDN w:val="0"/>
        <w:adjustRightInd w:val="0"/>
        <w:ind w:left="720"/>
        <w:contextualSpacing/>
        <w:rPr>
          <w:rFonts w:cs="Arial"/>
          <w:color w:val="000000"/>
          <w:szCs w:val="22"/>
        </w:rPr>
      </w:pPr>
      <w:r w:rsidRPr="00C915B5">
        <w:rPr>
          <w:rFonts w:cs="Arial"/>
          <w:color w:val="000000"/>
          <w:szCs w:val="22"/>
        </w:rPr>
        <w:t>Perform indirect tensile tests using the protocol from AASHTO T322 or ASTM D6931.</w:t>
      </w:r>
    </w:p>
    <w:p w14:paraId="1029C983" w14:textId="77777777" w:rsidR="00DB6ADC" w:rsidRPr="00C915B5" w:rsidRDefault="00DB6ADC" w:rsidP="008329F6">
      <w:pPr>
        <w:numPr>
          <w:ilvl w:val="0"/>
          <w:numId w:val="6"/>
        </w:numPr>
        <w:autoSpaceDE w:val="0"/>
        <w:autoSpaceDN w:val="0"/>
        <w:adjustRightInd w:val="0"/>
        <w:ind w:left="720"/>
        <w:contextualSpacing/>
        <w:rPr>
          <w:rFonts w:cs="Arial"/>
          <w:color w:val="000000"/>
          <w:szCs w:val="22"/>
        </w:rPr>
      </w:pPr>
      <w:r w:rsidRPr="00C915B5">
        <w:rPr>
          <w:rFonts w:cs="Arial"/>
          <w:color w:val="000000"/>
          <w:szCs w:val="22"/>
        </w:rPr>
        <w:t>Tests results shall include a control and a fiber reinforced mix. FRAC mix shall be identical to control mix except for the inclusion of fibers added at the same dosage as proposed on the project.</w:t>
      </w:r>
    </w:p>
    <w:p w14:paraId="2E245113" w14:textId="77777777" w:rsidR="00DB6ADC" w:rsidRDefault="00DB6ADC" w:rsidP="008329F6">
      <w:pPr>
        <w:numPr>
          <w:ilvl w:val="0"/>
          <w:numId w:val="6"/>
        </w:numPr>
        <w:autoSpaceDE w:val="0"/>
        <w:autoSpaceDN w:val="0"/>
        <w:adjustRightInd w:val="0"/>
        <w:ind w:left="720"/>
        <w:contextualSpacing/>
        <w:rPr>
          <w:rFonts w:cs="Arial"/>
          <w:color w:val="000000"/>
          <w:szCs w:val="22"/>
        </w:rPr>
      </w:pPr>
      <w:r w:rsidRPr="00C915B5">
        <w:rPr>
          <w:rFonts w:cs="Arial"/>
          <w:color w:val="000000"/>
          <w:szCs w:val="22"/>
        </w:rPr>
        <w:t>Indirect tensile test results from fiber specimens shall show an average tensile strength increase of 30 percent over control specimen with no samples having less than 25 percent increase of average tensile strength.</w:t>
      </w:r>
    </w:p>
    <w:p w14:paraId="42471F5E" w14:textId="77777777" w:rsidR="00DB6ADC" w:rsidRDefault="00DB6ADC" w:rsidP="00DB6ADC">
      <w:pPr>
        <w:autoSpaceDE w:val="0"/>
        <w:autoSpaceDN w:val="0"/>
        <w:adjustRightInd w:val="0"/>
        <w:contextualSpacing/>
        <w:rPr>
          <w:rFonts w:cs="Arial"/>
          <w:color w:val="000000"/>
          <w:szCs w:val="22"/>
        </w:rPr>
      </w:pPr>
    </w:p>
    <w:p w14:paraId="3D8B2E58" w14:textId="77777777" w:rsidR="00DB6ADC" w:rsidRDefault="00DB6ADC" w:rsidP="00DB6ADC">
      <w:pPr>
        <w:rPr>
          <w:rFonts w:cs="Arial"/>
          <w:szCs w:val="22"/>
        </w:rPr>
      </w:pPr>
      <w:r>
        <w:rPr>
          <w:rFonts w:cs="Arial"/>
          <w:szCs w:val="22"/>
        </w:rPr>
        <w:t>Resistance to Permanent Deformation (Rutting) shall be measured on the FRAC mixture by one of the following test methods: Flow Number Test or Hamburg.</w:t>
      </w:r>
    </w:p>
    <w:p w14:paraId="1F7DAD9A" w14:textId="77777777" w:rsidR="00DB6ADC" w:rsidRDefault="00DB6ADC" w:rsidP="00DB6ADC">
      <w:pPr>
        <w:rPr>
          <w:rFonts w:cs="Arial"/>
          <w:szCs w:val="22"/>
        </w:rPr>
      </w:pPr>
      <w:r>
        <w:rPr>
          <w:rFonts w:cs="Arial"/>
          <w:szCs w:val="22"/>
        </w:rPr>
        <w:t>Flow Number (FN) testing shall be performed on a minimum of three (3) separate laboratory trials in accordance with the following:</w:t>
      </w:r>
    </w:p>
    <w:p w14:paraId="3379B94C" w14:textId="77777777" w:rsidR="00DB6ADC" w:rsidRDefault="00DB6ADC" w:rsidP="008329F6">
      <w:pPr>
        <w:pStyle w:val="ListParagraph"/>
        <w:numPr>
          <w:ilvl w:val="0"/>
          <w:numId w:val="10"/>
        </w:numPr>
        <w:tabs>
          <w:tab w:val="left" w:pos="1170"/>
        </w:tabs>
        <w:ind w:left="720"/>
        <w:rPr>
          <w:rFonts w:cs="Arial"/>
          <w:szCs w:val="22"/>
        </w:rPr>
      </w:pPr>
      <w:r>
        <w:rPr>
          <w:rFonts w:cs="Arial"/>
          <w:szCs w:val="22"/>
        </w:rPr>
        <w:t xml:space="preserve">Perform flow number testing in accordance with AASHTO TP79.  </w:t>
      </w:r>
    </w:p>
    <w:p w14:paraId="5FC675F8" w14:textId="77777777" w:rsidR="00DB6ADC" w:rsidRDefault="00DB6ADC" w:rsidP="008329F6">
      <w:pPr>
        <w:pStyle w:val="ListParagraph"/>
        <w:numPr>
          <w:ilvl w:val="0"/>
          <w:numId w:val="10"/>
        </w:numPr>
        <w:tabs>
          <w:tab w:val="left" w:pos="1170"/>
        </w:tabs>
        <w:ind w:left="720"/>
        <w:rPr>
          <w:rFonts w:cs="Arial"/>
          <w:szCs w:val="22"/>
        </w:rPr>
      </w:pPr>
      <w:r>
        <w:rPr>
          <w:rFonts w:cs="Arial"/>
          <w:szCs w:val="22"/>
        </w:rPr>
        <w:t>Test results shall include a control mixture and a FRAC mixture.  The FRAC mixture shall be identical to the control mix except for the inclusion of fibers added at the same dosage rate as proposed on the project.</w:t>
      </w:r>
    </w:p>
    <w:p w14:paraId="5BA8915F" w14:textId="6147BC43" w:rsidR="00DB6ADC" w:rsidRDefault="00DB6ADC" w:rsidP="003B35E6">
      <w:pPr>
        <w:pStyle w:val="ListParagraph"/>
        <w:numPr>
          <w:ilvl w:val="0"/>
          <w:numId w:val="10"/>
        </w:numPr>
        <w:tabs>
          <w:tab w:val="left" w:pos="1170"/>
        </w:tabs>
        <w:ind w:left="720"/>
        <w:rPr>
          <w:rFonts w:cs="Arial"/>
          <w:szCs w:val="22"/>
        </w:rPr>
      </w:pPr>
      <w:r>
        <w:rPr>
          <w:rFonts w:cs="Arial"/>
          <w:szCs w:val="22"/>
        </w:rPr>
        <w:t>Results from the FRAC specimens shall each show an average FN increase of at least 35 percent over the control specimens.</w:t>
      </w:r>
    </w:p>
    <w:p w14:paraId="180E3D25" w14:textId="77777777" w:rsidR="003B35E6" w:rsidRDefault="003B35E6" w:rsidP="008329F6">
      <w:pPr>
        <w:pStyle w:val="ListParagraph"/>
        <w:tabs>
          <w:tab w:val="left" w:pos="1170"/>
        </w:tabs>
        <w:rPr>
          <w:rFonts w:cs="Arial"/>
          <w:szCs w:val="22"/>
        </w:rPr>
      </w:pPr>
    </w:p>
    <w:p w14:paraId="6CDDC107" w14:textId="77777777" w:rsidR="00DB6ADC" w:rsidRDefault="00DB6ADC" w:rsidP="00DB6ADC">
      <w:pPr>
        <w:rPr>
          <w:rFonts w:cs="Arial"/>
          <w:szCs w:val="22"/>
        </w:rPr>
      </w:pPr>
      <w:r>
        <w:rPr>
          <w:rFonts w:cs="Arial"/>
          <w:szCs w:val="22"/>
        </w:rPr>
        <w:t>Hamburg testing shall be performed on a minimum of three (3) separate laboratory trials in accordance with the following:</w:t>
      </w:r>
    </w:p>
    <w:p w14:paraId="12430961" w14:textId="77777777" w:rsidR="00DB6ADC" w:rsidRDefault="00DB6ADC" w:rsidP="008329F6">
      <w:pPr>
        <w:pStyle w:val="ListParagraph"/>
        <w:numPr>
          <w:ilvl w:val="0"/>
          <w:numId w:val="11"/>
        </w:numPr>
        <w:ind w:left="720"/>
        <w:rPr>
          <w:rFonts w:cs="Arial"/>
          <w:szCs w:val="22"/>
        </w:rPr>
      </w:pPr>
      <w:r>
        <w:rPr>
          <w:rFonts w:cs="Arial"/>
          <w:szCs w:val="22"/>
        </w:rPr>
        <w:t>Perform Hamburg testing in accordance with AASHTO T324.</w:t>
      </w:r>
    </w:p>
    <w:p w14:paraId="30CB8E01" w14:textId="77777777" w:rsidR="00DB6ADC" w:rsidRDefault="00DB6ADC" w:rsidP="008329F6">
      <w:pPr>
        <w:pStyle w:val="ListParagraph"/>
        <w:numPr>
          <w:ilvl w:val="0"/>
          <w:numId w:val="11"/>
        </w:numPr>
        <w:ind w:left="720"/>
        <w:rPr>
          <w:rFonts w:cs="Arial"/>
          <w:szCs w:val="22"/>
        </w:rPr>
      </w:pPr>
      <w:r>
        <w:rPr>
          <w:rFonts w:cs="Arial"/>
          <w:szCs w:val="22"/>
        </w:rPr>
        <w:t>Test results may include only the FRAC mixture at the same dosage rate as proposed on the project.</w:t>
      </w:r>
    </w:p>
    <w:p w14:paraId="0C1385F2" w14:textId="77777777" w:rsidR="00DB6ADC" w:rsidRDefault="00DB6ADC" w:rsidP="008329F6">
      <w:pPr>
        <w:pStyle w:val="ListParagraph"/>
        <w:numPr>
          <w:ilvl w:val="0"/>
          <w:numId w:val="11"/>
        </w:numPr>
        <w:ind w:left="720"/>
        <w:rPr>
          <w:rFonts w:cs="Arial"/>
          <w:szCs w:val="22"/>
        </w:rPr>
      </w:pPr>
      <w:r>
        <w:rPr>
          <w:rFonts w:cs="Arial"/>
          <w:szCs w:val="22"/>
        </w:rPr>
        <w:t>Results from the FRAC specimens shall show less than 3 mm of rutting.</w:t>
      </w:r>
    </w:p>
    <w:p w14:paraId="640656A0" w14:textId="77777777" w:rsidR="00DB6ADC" w:rsidRPr="00C915B5" w:rsidRDefault="00DB6ADC" w:rsidP="00DB6ADC">
      <w:pPr>
        <w:pStyle w:val="ListParagraph"/>
        <w:spacing w:afterLines="200" w:after="480"/>
        <w:ind w:left="450"/>
        <w:rPr>
          <w:rFonts w:cs="Arial"/>
          <w:b/>
          <w:szCs w:val="22"/>
        </w:rPr>
      </w:pPr>
    </w:p>
    <w:p w14:paraId="62361D6D" w14:textId="77777777" w:rsidR="00DB6ADC" w:rsidRPr="00C915B5" w:rsidRDefault="00DB6ADC" w:rsidP="00DB6ADC">
      <w:pPr>
        <w:pStyle w:val="ListParagraph"/>
        <w:numPr>
          <w:ilvl w:val="1"/>
          <w:numId w:val="5"/>
        </w:numPr>
        <w:ind w:left="450" w:hanging="450"/>
        <w:rPr>
          <w:rFonts w:cs="Arial"/>
          <w:b/>
          <w:szCs w:val="22"/>
        </w:rPr>
      </w:pPr>
      <w:r w:rsidRPr="00C915B5">
        <w:rPr>
          <w:rFonts w:cs="Arial"/>
          <w:b/>
          <w:szCs w:val="22"/>
        </w:rPr>
        <w:t>Required Information</w:t>
      </w:r>
      <w:r w:rsidRPr="00C915B5">
        <w:rPr>
          <w:rFonts w:cs="Arial"/>
          <w:szCs w:val="22"/>
        </w:rPr>
        <w:t>.  The contractor shall furnish a manufacturer’s certification to the engineer for each lot of material furnished stating the name of the manufacturer, the chemical composition, and certifying that the material supplied is in accordance with this specification.</w:t>
      </w:r>
    </w:p>
    <w:p w14:paraId="5113CE9D" w14:textId="77777777" w:rsidR="00DB6ADC" w:rsidRPr="00C915B5" w:rsidRDefault="00DB6ADC" w:rsidP="00DB6ADC">
      <w:pPr>
        <w:pStyle w:val="ListParagraph"/>
        <w:ind w:left="450"/>
        <w:rPr>
          <w:rFonts w:cs="Arial"/>
          <w:b/>
          <w:szCs w:val="22"/>
        </w:rPr>
      </w:pPr>
    </w:p>
    <w:p w14:paraId="7FEA4C13" w14:textId="77777777" w:rsidR="00DB6ADC" w:rsidRPr="00C915B5" w:rsidRDefault="00DB6ADC" w:rsidP="00DB6ADC">
      <w:pPr>
        <w:pStyle w:val="ListParagraph"/>
        <w:numPr>
          <w:ilvl w:val="0"/>
          <w:numId w:val="5"/>
        </w:numPr>
        <w:rPr>
          <w:rFonts w:cs="Arial"/>
          <w:szCs w:val="22"/>
        </w:rPr>
      </w:pPr>
      <w:r w:rsidRPr="00C915B5">
        <w:rPr>
          <w:rFonts w:cs="Arial"/>
          <w:b/>
          <w:szCs w:val="22"/>
        </w:rPr>
        <w:t xml:space="preserve">Construction.  </w:t>
      </w:r>
    </w:p>
    <w:p w14:paraId="5A757C72" w14:textId="77777777" w:rsidR="00DB6ADC" w:rsidRPr="00C915B5" w:rsidRDefault="00DB6ADC" w:rsidP="008329F6"/>
    <w:p w14:paraId="683411E1" w14:textId="77777777" w:rsidR="00DB6ADC" w:rsidRPr="00C915B5" w:rsidRDefault="00DB6ADC" w:rsidP="008329F6">
      <w:pPr>
        <w:pStyle w:val="ListParagraph"/>
        <w:numPr>
          <w:ilvl w:val="1"/>
          <w:numId w:val="5"/>
        </w:numPr>
        <w:tabs>
          <w:tab w:val="left" w:pos="450"/>
        </w:tabs>
        <w:ind w:left="0" w:firstLine="0"/>
        <w:rPr>
          <w:rFonts w:cs="Arial"/>
          <w:szCs w:val="22"/>
        </w:rPr>
      </w:pPr>
      <w:r w:rsidRPr="00C915B5">
        <w:rPr>
          <w:rFonts w:cs="Arial"/>
          <w:b/>
          <w:szCs w:val="22"/>
        </w:rPr>
        <w:t xml:space="preserve">Delivery, Storage, and Handling.  </w:t>
      </w:r>
      <w:r w:rsidRPr="00C915B5">
        <w:rPr>
          <w:rFonts w:cs="Arial"/>
          <w:szCs w:val="22"/>
        </w:rPr>
        <w:t>The fiber-reinforcement material shall be delivered, stored, and handled in accordance with the manufacturer’s recommendations and specifically as follows:</w:t>
      </w:r>
    </w:p>
    <w:p w14:paraId="309ED73B" w14:textId="77777777" w:rsidR="00DB6ADC" w:rsidRDefault="00DB6ADC" w:rsidP="008329F6">
      <w:pPr>
        <w:numPr>
          <w:ilvl w:val="0"/>
          <w:numId w:val="8"/>
        </w:numPr>
        <w:tabs>
          <w:tab w:val="clear" w:pos="1800"/>
        </w:tabs>
        <w:ind w:left="720"/>
        <w:contextualSpacing/>
        <w:rPr>
          <w:szCs w:val="22"/>
        </w:rPr>
      </w:pPr>
      <w:r w:rsidRPr="00A158F1">
        <w:rPr>
          <w:szCs w:val="22"/>
        </w:rPr>
        <w:t>Deliver fiber-reinforcement in sealed, undamaged containers with labels intact and legible, indicating material name and lot number.</w:t>
      </w:r>
    </w:p>
    <w:p w14:paraId="58B3BAE3" w14:textId="77777777" w:rsidR="00DB6ADC" w:rsidRPr="00A158F1" w:rsidRDefault="00DB6ADC" w:rsidP="008329F6">
      <w:pPr>
        <w:numPr>
          <w:ilvl w:val="0"/>
          <w:numId w:val="8"/>
        </w:numPr>
        <w:tabs>
          <w:tab w:val="clear" w:pos="1800"/>
        </w:tabs>
        <w:ind w:left="720"/>
        <w:contextualSpacing/>
        <w:rPr>
          <w:szCs w:val="22"/>
        </w:rPr>
      </w:pPr>
      <w:r w:rsidRPr="00A158F1">
        <w:rPr>
          <w:szCs w:val="22"/>
        </w:rPr>
        <w:t>Deliver fiber-reinforcement to location where it shall be added to each batch or loaded into the mixer.</w:t>
      </w:r>
    </w:p>
    <w:p w14:paraId="0215891C" w14:textId="77777777" w:rsidR="00DB6ADC" w:rsidRDefault="00DB6ADC" w:rsidP="008329F6">
      <w:pPr>
        <w:numPr>
          <w:ilvl w:val="0"/>
          <w:numId w:val="8"/>
        </w:numPr>
        <w:tabs>
          <w:tab w:val="clear" w:pos="1800"/>
        </w:tabs>
        <w:ind w:left="720"/>
        <w:contextualSpacing/>
        <w:rPr>
          <w:szCs w:val="22"/>
        </w:rPr>
      </w:pPr>
      <w:r w:rsidRPr="00C915B5">
        <w:rPr>
          <w:szCs w:val="22"/>
        </w:rPr>
        <w:t>Store materials covered and off the ground.  Keep sand and dust out of boxes and do not allow boxes to become wet.</w:t>
      </w:r>
    </w:p>
    <w:p w14:paraId="0F39A734" w14:textId="77777777" w:rsidR="00DB6ADC" w:rsidRPr="00C915B5" w:rsidRDefault="00DB6ADC" w:rsidP="00DB6ADC">
      <w:pPr>
        <w:rPr>
          <w:szCs w:val="22"/>
        </w:rPr>
      </w:pPr>
    </w:p>
    <w:p w14:paraId="31D039EE" w14:textId="52B4722C" w:rsidR="00DB6ADC" w:rsidRPr="00C915B5" w:rsidRDefault="00DB6ADC" w:rsidP="008329F6">
      <w:pPr>
        <w:pStyle w:val="ListParagraph"/>
        <w:numPr>
          <w:ilvl w:val="1"/>
          <w:numId w:val="5"/>
        </w:numPr>
        <w:tabs>
          <w:tab w:val="left" w:pos="450"/>
        </w:tabs>
        <w:ind w:left="0" w:firstLine="0"/>
        <w:rPr>
          <w:rFonts w:cs="Arial"/>
          <w:szCs w:val="22"/>
        </w:rPr>
      </w:pPr>
      <w:r w:rsidRPr="00C915B5">
        <w:rPr>
          <w:rFonts w:cs="Arial"/>
          <w:b/>
          <w:szCs w:val="22"/>
        </w:rPr>
        <w:t xml:space="preserve">Mixing and Production.  </w:t>
      </w:r>
      <w:r w:rsidRPr="00C915B5">
        <w:rPr>
          <w:rFonts w:cs="Arial"/>
          <w:szCs w:val="22"/>
        </w:rPr>
        <w:t>The system for adding fibers to the mix shall be approved by the fiber manufacturer.  The engineer shall be informed in writing that the system being used to add the fibers in the asphalt mixture meets the fiber manufacturer’s recommendations.</w:t>
      </w:r>
    </w:p>
    <w:p w14:paraId="1C4B273F" w14:textId="77777777" w:rsidR="00DB6ADC" w:rsidRPr="00C915B5" w:rsidRDefault="00DB6ADC" w:rsidP="008329F6"/>
    <w:p w14:paraId="0A2D4FD1" w14:textId="26A85748" w:rsidR="00DB6ADC" w:rsidRDefault="008E763D" w:rsidP="003A46D0">
      <w:pPr>
        <w:rPr>
          <w:rFonts w:cs="Arial"/>
          <w:szCs w:val="22"/>
        </w:rPr>
      </w:pPr>
      <w:r>
        <w:lastRenderedPageBreak/>
        <w:t>The fiber reinforcement shall be added at the dosage rate that meets the FRAC Mixture Performance Requirements listed in Table 2 as prescribed by the manufacturer.</w:t>
      </w:r>
      <w:r w:rsidR="00DB6ADC">
        <w:rPr>
          <w:rFonts w:cs="Arial"/>
          <w:szCs w:val="22"/>
        </w:rPr>
        <w:t xml:space="preserve">  </w:t>
      </w:r>
      <w:r w:rsidR="00DB6ADC" w:rsidRPr="00C915B5">
        <w:rPr>
          <w:rFonts w:cs="Arial"/>
          <w:szCs w:val="22"/>
        </w:rPr>
        <w:t xml:space="preserve">A fiber manufacturer shall be on site during the mixing and production of FRAC material. </w:t>
      </w:r>
    </w:p>
    <w:p w14:paraId="232935A2" w14:textId="77777777" w:rsidR="00EC07CB" w:rsidRPr="00C915B5" w:rsidRDefault="00EC07CB" w:rsidP="008329F6">
      <w:pPr>
        <w:rPr>
          <w:rFonts w:cs="Arial"/>
          <w:szCs w:val="22"/>
        </w:rPr>
      </w:pPr>
    </w:p>
    <w:p w14:paraId="075BB3AF" w14:textId="7EFB3E79" w:rsidR="00DB6ADC" w:rsidRDefault="00DB6ADC" w:rsidP="003A46D0">
      <w:pPr>
        <w:rPr>
          <w:rFonts w:cs="Arial"/>
          <w:szCs w:val="22"/>
        </w:rPr>
      </w:pPr>
      <w:r w:rsidRPr="00C915B5">
        <w:rPr>
          <w:rFonts w:cs="Arial"/>
          <w:szCs w:val="22"/>
        </w:rPr>
        <w:t>The following construction steps shall be used when producing the FRAC or as required by the manufacturer.</w:t>
      </w:r>
    </w:p>
    <w:p w14:paraId="079891C2" w14:textId="77777777" w:rsidR="00EC07CB" w:rsidRPr="00C915B5" w:rsidRDefault="00EC07CB" w:rsidP="008329F6">
      <w:pPr>
        <w:rPr>
          <w:rFonts w:cs="Arial"/>
          <w:szCs w:val="22"/>
        </w:rPr>
      </w:pPr>
    </w:p>
    <w:p w14:paraId="6409013C" w14:textId="031C853D" w:rsidR="00DB6ADC" w:rsidRDefault="00DB6ADC" w:rsidP="003A46D0">
      <w:pPr>
        <w:pStyle w:val="ListParagraph"/>
        <w:tabs>
          <w:tab w:val="left" w:pos="360"/>
        </w:tabs>
        <w:ind w:left="0"/>
        <w:rPr>
          <w:szCs w:val="22"/>
        </w:rPr>
      </w:pPr>
      <w:r w:rsidRPr="008329F6">
        <w:rPr>
          <w:b/>
          <w:bCs/>
          <w:szCs w:val="22"/>
        </w:rPr>
        <w:t>Batch Plant</w:t>
      </w:r>
      <w:r w:rsidRPr="00C915B5">
        <w:rPr>
          <w:szCs w:val="22"/>
        </w:rPr>
        <w:t xml:space="preserve">:  When a batch plant is used, add fiber to the aggregate in the weigh hopper and increase both dry and wet mixing times.  Ensure that the fiber is uniformly distributed before the injection of asphalt cement into the mixture. </w:t>
      </w:r>
    </w:p>
    <w:p w14:paraId="78302CC1" w14:textId="77777777" w:rsidR="00EC07CB" w:rsidRPr="00C915B5" w:rsidRDefault="00EC07CB" w:rsidP="008329F6">
      <w:pPr>
        <w:pStyle w:val="ListParagraph"/>
        <w:tabs>
          <w:tab w:val="left" w:pos="360"/>
        </w:tabs>
        <w:ind w:left="0"/>
        <w:rPr>
          <w:szCs w:val="22"/>
        </w:rPr>
      </w:pPr>
    </w:p>
    <w:p w14:paraId="488151A2" w14:textId="6B31DFC6" w:rsidR="00DB6ADC" w:rsidRDefault="00DB6ADC" w:rsidP="003A46D0">
      <w:pPr>
        <w:tabs>
          <w:tab w:val="left" w:pos="360"/>
        </w:tabs>
        <w:rPr>
          <w:szCs w:val="22"/>
        </w:rPr>
      </w:pPr>
      <w:r w:rsidRPr="008329F6">
        <w:rPr>
          <w:b/>
          <w:bCs/>
          <w:szCs w:val="22"/>
        </w:rPr>
        <w:t>Drum Plant</w:t>
      </w:r>
      <w:r w:rsidRPr="00C915B5">
        <w:rPr>
          <w:szCs w:val="22"/>
        </w:rPr>
        <w:t xml:space="preserve">: For drum plants, inject fibers through the reclaimed asphalt pavement (RAP) collar </w:t>
      </w:r>
      <w:r w:rsidRPr="002D600C">
        <w:rPr>
          <w:szCs w:val="22"/>
        </w:rPr>
        <w:t>using an automatic, metered air blown system to promote rapid and complete fiber dispersion.  System must automatically record fiber addition data so as to remove human error.  Rate the feeding of fibers with the rate the plant is producing asphalt mix. If there is any evidence of fiber bundles at the discharge chute, increase the mixing time and/or temperature or change the angle of the fiber feeder line to increase dry mixing time</w:t>
      </w:r>
      <w:r w:rsidRPr="00C915B5">
        <w:rPr>
          <w:szCs w:val="22"/>
        </w:rPr>
        <w:t>.</w:t>
      </w:r>
    </w:p>
    <w:p w14:paraId="7362A2D7" w14:textId="77777777" w:rsidR="00EC07CB" w:rsidRPr="00C915B5" w:rsidRDefault="00EC07CB" w:rsidP="008329F6">
      <w:pPr>
        <w:tabs>
          <w:tab w:val="left" w:pos="360"/>
        </w:tabs>
        <w:rPr>
          <w:szCs w:val="22"/>
        </w:rPr>
      </w:pPr>
    </w:p>
    <w:p w14:paraId="242590D7" w14:textId="6F8CD84D" w:rsidR="00DB6ADC" w:rsidRDefault="00231A66" w:rsidP="008329F6">
      <w:pPr>
        <w:tabs>
          <w:tab w:val="left" w:pos="360"/>
        </w:tabs>
        <w:rPr>
          <w:szCs w:val="22"/>
        </w:rPr>
      </w:pPr>
      <w:r w:rsidRPr="008329F6">
        <w:rPr>
          <w:b/>
          <w:bCs/>
          <w:szCs w:val="22"/>
        </w:rPr>
        <w:t>For small quantity projects</w:t>
      </w:r>
      <w:r>
        <w:rPr>
          <w:szCs w:val="22"/>
        </w:rPr>
        <w:t xml:space="preserve"> less than 2000 tons, manual feeding of the fibers may be allowed in accordance with the </w:t>
      </w:r>
      <w:r w:rsidR="000614BA">
        <w:rPr>
          <w:szCs w:val="22"/>
        </w:rPr>
        <w:t>manufacturer’s</w:t>
      </w:r>
      <w:r>
        <w:rPr>
          <w:szCs w:val="22"/>
        </w:rPr>
        <w:t xml:space="preserve"> recommendations.  For projects greater than 2000 tons, m</w:t>
      </w:r>
      <w:r w:rsidR="00DB6ADC">
        <w:rPr>
          <w:szCs w:val="22"/>
        </w:rPr>
        <w:t>anual feeding of the fibers is not allowed.</w:t>
      </w:r>
      <w:r w:rsidR="00DB6ADC" w:rsidRPr="00C915B5">
        <w:rPr>
          <w:szCs w:val="22"/>
        </w:rPr>
        <w:t xml:space="preserve"> </w:t>
      </w:r>
    </w:p>
    <w:p w14:paraId="165A591B" w14:textId="77777777" w:rsidR="00C705A0" w:rsidRPr="00C915B5" w:rsidRDefault="00C705A0" w:rsidP="008329F6">
      <w:pPr>
        <w:tabs>
          <w:tab w:val="left" w:pos="360"/>
        </w:tabs>
        <w:rPr>
          <w:szCs w:val="22"/>
        </w:rPr>
      </w:pPr>
    </w:p>
    <w:p w14:paraId="50324B8A" w14:textId="063E34DD" w:rsidR="00DB6ADC" w:rsidRDefault="00DB6ADC" w:rsidP="008329F6">
      <w:r w:rsidRPr="008329F6">
        <w:rPr>
          <w:b/>
          <w:bCs/>
        </w:rPr>
        <w:t>For blower tube system</w:t>
      </w:r>
      <w:r w:rsidRPr="00C915B5">
        <w:t xml:space="preserve">, add fibers continuously and in a steady uniform manner. Provide automated proportioning devices and control delivery within ±10% of the mass of the fibers required. Perform an equipment calibration to the satisfaction of the fiber manufacturer’s representative to show that the fiber is being accurately metered and uniformly distributed into the mix. </w:t>
      </w:r>
    </w:p>
    <w:p w14:paraId="1B7EAF9F" w14:textId="77777777" w:rsidR="00C705A0" w:rsidRPr="00C915B5" w:rsidRDefault="00C705A0" w:rsidP="008329F6">
      <w:pPr>
        <w:tabs>
          <w:tab w:val="left" w:pos="360"/>
        </w:tabs>
        <w:rPr>
          <w:szCs w:val="22"/>
        </w:rPr>
      </w:pPr>
    </w:p>
    <w:p w14:paraId="3488D941" w14:textId="77777777" w:rsidR="00DB6ADC" w:rsidRPr="00C915B5" w:rsidRDefault="00DB6ADC">
      <w:pPr>
        <w:tabs>
          <w:tab w:val="left" w:pos="360"/>
        </w:tabs>
        <w:ind w:left="450"/>
        <w:contextualSpacing/>
        <w:rPr>
          <w:szCs w:val="22"/>
        </w:rPr>
      </w:pPr>
      <w:r w:rsidRPr="00C915B5">
        <w:rPr>
          <w:szCs w:val="22"/>
        </w:rPr>
        <w:t>Include the following for blower tube system:</w:t>
      </w:r>
    </w:p>
    <w:p w14:paraId="01037094" w14:textId="77777777" w:rsidR="00DB6ADC" w:rsidRPr="00C915B5" w:rsidRDefault="00DB6ADC" w:rsidP="00DB6ADC">
      <w:pPr>
        <w:pStyle w:val="ListParagraph"/>
        <w:numPr>
          <w:ilvl w:val="0"/>
          <w:numId w:val="12"/>
        </w:numPr>
        <w:tabs>
          <w:tab w:val="left" w:pos="360"/>
        </w:tabs>
        <w:ind w:left="1080"/>
        <w:rPr>
          <w:szCs w:val="22"/>
        </w:rPr>
      </w:pPr>
      <w:r w:rsidRPr="00C915B5">
        <w:rPr>
          <w:szCs w:val="22"/>
        </w:rPr>
        <w:t>Low level indicators</w:t>
      </w:r>
    </w:p>
    <w:p w14:paraId="7C0288B2" w14:textId="77777777" w:rsidR="00DB6ADC" w:rsidRPr="00C915B5" w:rsidRDefault="00DB6ADC" w:rsidP="00DB6ADC">
      <w:pPr>
        <w:pStyle w:val="ListParagraph"/>
        <w:numPr>
          <w:ilvl w:val="0"/>
          <w:numId w:val="12"/>
        </w:numPr>
        <w:tabs>
          <w:tab w:val="left" w:pos="360"/>
        </w:tabs>
        <w:ind w:left="1080"/>
        <w:rPr>
          <w:szCs w:val="22"/>
        </w:rPr>
      </w:pPr>
      <w:r w:rsidRPr="00C915B5">
        <w:rPr>
          <w:szCs w:val="22"/>
        </w:rPr>
        <w:t>No-flow indicators</w:t>
      </w:r>
    </w:p>
    <w:p w14:paraId="084317F1" w14:textId="77777777" w:rsidR="00DB6ADC" w:rsidRPr="00C915B5" w:rsidRDefault="00DB6ADC" w:rsidP="00DB6ADC">
      <w:pPr>
        <w:pStyle w:val="ListParagraph"/>
        <w:numPr>
          <w:ilvl w:val="0"/>
          <w:numId w:val="12"/>
        </w:numPr>
        <w:tabs>
          <w:tab w:val="left" w:pos="360"/>
        </w:tabs>
        <w:ind w:left="1080"/>
        <w:rPr>
          <w:szCs w:val="22"/>
        </w:rPr>
      </w:pPr>
      <w:r w:rsidRPr="00C915B5">
        <w:rPr>
          <w:szCs w:val="22"/>
        </w:rPr>
        <w:t>A printout of feed rate status in pounds/ minute</w:t>
      </w:r>
    </w:p>
    <w:p w14:paraId="10FA408F" w14:textId="77777777" w:rsidR="00DB6ADC" w:rsidRPr="00C915B5" w:rsidRDefault="00DB6ADC" w:rsidP="00DB6ADC">
      <w:pPr>
        <w:pStyle w:val="ListParagraph"/>
        <w:numPr>
          <w:ilvl w:val="0"/>
          <w:numId w:val="12"/>
        </w:numPr>
        <w:tabs>
          <w:tab w:val="left" w:pos="360"/>
        </w:tabs>
        <w:ind w:left="1080"/>
        <w:rPr>
          <w:szCs w:val="22"/>
        </w:rPr>
      </w:pPr>
      <w:r w:rsidRPr="00C915B5">
        <w:rPr>
          <w:szCs w:val="22"/>
        </w:rPr>
        <w:t>A section of transparent pipe in the fiber supply line for observing consistency of flow or feed.</w:t>
      </w:r>
    </w:p>
    <w:p w14:paraId="6B8B76C7" w14:textId="77777777" w:rsidR="00DB6ADC" w:rsidRPr="00C915B5" w:rsidRDefault="00DB6ADC" w:rsidP="00DB6ADC">
      <w:pPr>
        <w:pStyle w:val="ListParagraph"/>
        <w:tabs>
          <w:tab w:val="left" w:pos="360"/>
        </w:tabs>
        <w:ind w:left="1800"/>
        <w:rPr>
          <w:szCs w:val="22"/>
        </w:rPr>
      </w:pPr>
    </w:p>
    <w:p w14:paraId="60589F69" w14:textId="0952E568" w:rsidR="00DB6ADC" w:rsidRDefault="00DB6ADC" w:rsidP="008329F6">
      <w:pPr>
        <w:pStyle w:val="ListParagraph"/>
        <w:numPr>
          <w:ilvl w:val="1"/>
          <w:numId w:val="5"/>
        </w:numPr>
        <w:tabs>
          <w:tab w:val="left" w:pos="450"/>
        </w:tabs>
        <w:spacing w:before="240"/>
        <w:ind w:left="0" w:firstLine="0"/>
        <w:rPr>
          <w:rFonts w:cs="Arial"/>
          <w:szCs w:val="22"/>
        </w:rPr>
      </w:pPr>
      <w:r w:rsidRPr="00DD2747">
        <w:rPr>
          <w:rFonts w:cs="Arial"/>
          <w:b/>
          <w:szCs w:val="22"/>
        </w:rPr>
        <w:t>Quality Control.</w:t>
      </w:r>
      <w:r>
        <w:rPr>
          <w:rFonts w:cs="Arial"/>
          <w:szCs w:val="22"/>
        </w:rPr>
        <w:t xml:space="preserve">  A minimum of 25 pounds FRAC sample shall be collected during the first 50 tons of production.  The sample shall be visually inspected to determine the uniform dispersion of the aramid fibers in an individual state (no bundles or agitated bundles).  If undistributed bundles exist, the plant shall adjust the mixing operations until the aramid fibers are in and individual state.</w:t>
      </w:r>
    </w:p>
    <w:p w14:paraId="42E8675F" w14:textId="77777777" w:rsidR="00DB6ADC" w:rsidRPr="00DD2747" w:rsidRDefault="00DB6ADC" w:rsidP="008329F6">
      <w:pPr>
        <w:pStyle w:val="ListParagraph"/>
        <w:tabs>
          <w:tab w:val="left" w:pos="450"/>
        </w:tabs>
        <w:spacing w:before="240"/>
        <w:ind w:left="0"/>
        <w:rPr>
          <w:rFonts w:cs="Arial"/>
          <w:szCs w:val="22"/>
        </w:rPr>
      </w:pPr>
    </w:p>
    <w:p w14:paraId="68D27463" w14:textId="4C377BC1" w:rsidR="00DB6ADC" w:rsidRPr="00C915B5" w:rsidRDefault="00DB6ADC" w:rsidP="008329F6">
      <w:pPr>
        <w:pStyle w:val="ListParagraph"/>
        <w:numPr>
          <w:ilvl w:val="1"/>
          <w:numId w:val="5"/>
        </w:numPr>
        <w:tabs>
          <w:tab w:val="left" w:pos="450"/>
        </w:tabs>
        <w:spacing w:before="240"/>
        <w:ind w:left="0" w:firstLine="0"/>
        <w:rPr>
          <w:rFonts w:cs="Arial"/>
          <w:szCs w:val="22"/>
        </w:rPr>
      </w:pPr>
      <w:r w:rsidRPr="00C915B5">
        <w:rPr>
          <w:rFonts w:cs="Arial"/>
          <w:b/>
          <w:szCs w:val="22"/>
        </w:rPr>
        <w:t xml:space="preserve">Placement.  </w:t>
      </w:r>
      <w:r>
        <w:rPr>
          <w:rFonts w:cs="Arial"/>
          <w:szCs w:val="22"/>
        </w:rPr>
        <w:t>In addition to the visual inspection t</w:t>
      </w:r>
      <w:r w:rsidRPr="00C915B5">
        <w:rPr>
          <w:rFonts w:cs="Arial"/>
          <w:szCs w:val="22"/>
        </w:rPr>
        <w:t>he FRAC mix shall be visually observed in the back of first three trucks</w:t>
      </w:r>
      <w:r>
        <w:rPr>
          <w:rFonts w:cs="Arial"/>
          <w:szCs w:val="22"/>
        </w:rPr>
        <w:t xml:space="preserve"> and every tenth truck thereafter to confirm the adequate blending of the fibers</w:t>
      </w:r>
      <w:r w:rsidRPr="00C915B5">
        <w:rPr>
          <w:rFonts w:cs="Arial"/>
          <w:szCs w:val="22"/>
        </w:rPr>
        <w:t>.</w:t>
      </w:r>
    </w:p>
    <w:p w14:paraId="6CC7E1BD" w14:textId="77777777" w:rsidR="00DB6ADC" w:rsidRPr="00C915B5" w:rsidRDefault="00DB6ADC" w:rsidP="008329F6">
      <w:pPr>
        <w:pStyle w:val="ListParagraph"/>
        <w:tabs>
          <w:tab w:val="left" w:pos="450"/>
        </w:tabs>
        <w:spacing w:before="240"/>
        <w:ind w:left="0"/>
        <w:rPr>
          <w:rFonts w:cs="Arial"/>
          <w:szCs w:val="22"/>
        </w:rPr>
      </w:pPr>
    </w:p>
    <w:p w14:paraId="4B2BFF74" w14:textId="0B75B88E" w:rsidR="00DB6ADC" w:rsidRDefault="00DB6ADC" w:rsidP="00C705A0">
      <w:pPr>
        <w:tabs>
          <w:tab w:val="left" w:pos="450"/>
        </w:tabs>
        <w:rPr>
          <w:rFonts w:cs="Arial"/>
          <w:b/>
          <w:szCs w:val="22"/>
        </w:rPr>
      </w:pPr>
      <w:r w:rsidRPr="00C915B5">
        <w:rPr>
          <w:rFonts w:cs="Arial"/>
          <w:b/>
          <w:szCs w:val="22"/>
        </w:rPr>
        <w:t>DRAFTER NOTE: THE SPECIFIC SUPERPAVE NOMENCLATURE MUST BE INCLUDED FOR THE MISCELLANEOUS PAY ITEM DESCRIPTION.</w:t>
      </w:r>
    </w:p>
    <w:p w14:paraId="3E35D3F6" w14:textId="77777777" w:rsidR="00C705A0" w:rsidRPr="00C915B5" w:rsidRDefault="00C705A0" w:rsidP="008329F6">
      <w:pPr>
        <w:tabs>
          <w:tab w:val="left" w:pos="450"/>
        </w:tabs>
        <w:rPr>
          <w:rFonts w:cs="Arial"/>
          <w:szCs w:val="22"/>
        </w:rPr>
      </w:pPr>
    </w:p>
    <w:p w14:paraId="71F3DF47" w14:textId="07938511" w:rsidR="00DB6ADC" w:rsidRPr="00C915B5" w:rsidRDefault="00DB6ADC" w:rsidP="008329F6">
      <w:pPr>
        <w:pStyle w:val="ListParagraph"/>
        <w:numPr>
          <w:ilvl w:val="0"/>
          <w:numId w:val="5"/>
        </w:numPr>
        <w:tabs>
          <w:tab w:val="left" w:pos="450"/>
        </w:tabs>
        <w:ind w:left="0" w:firstLine="0"/>
        <w:rPr>
          <w:rFonts w:cs="Arial"/>
          <w:szCs w:val="22"/>
        </w:rPr>
      </w:pPr>
      <w:r w:rsidRPr="00C915B5">
        <w:rPr>
          <w:rFonts w:cs="Arial"/>
          <w:b/>
          <w:szCs w:val="22"/>
        </w:rPr>
        <w:t>Basis of Payment.</w:t>
      </w:r>
      <w:r w:rsidRPr="00C915B5">
        <w:rPr>
          <w:rFonts w:cs="Arial"/>
          <w:szCs w:val="22"/>
        </w:rPr>
        <w:t xml:space="preserve"> </w:t>
      </w:r>
      <w:r w:rsidR="00E63364">
        <w:rPr>
          <w:rFonts w:cs="Arial"/>
          <w:szCs w:val="22"/>
        </w:rPr>
        <w:t xml:space="preserve"> </w:t>
      </w:r>
      <w:r w:rsidRPr="00C915B5">
        <w:rPr>
          <w:rFonts w:cs="Arial"/>
          <w:szCs w:val="22"/>
        </w:rPr>
        <w:t>Payment for the high tensile strength synthetic fibers shall be paid for at the contract unit price per ton for Item Number 403-99.10 Misc.</w:t>
      </w:r>
      <w:r w:rsidRPr="00C915B5">
        <w:rPr>
          <w:color w:val="1F497D"/>
          <w:szCs w:val="22"/>
        </w:rPr>
        <w:t xml:space="preserve"> </w:t>
      </w:r>
      <w:r w:rsidRPr="00C915B5">
        <w:rPr>
          <w:rFonts w:cs="Arial"/>
          <w:szCs w:val="22"/>
        </w:rPr>
        <w:t xml:space="preserve">High Tensile Strength Synthetic Fiber Asphaltic Pavement </w:t>
      </w:r>
      <w:r w:rsidR="00231A66" w:rsidRPr="00C915B5">
        <w:rPr>
          <w:rFonts w:cs="Arial"/>
          <w:szCs w:val="22"/>
          <w:highlight w:val="yellow"/>
        </w:rPr>
        <w:t>SP</w:t>
      </w:r>
      <w:r w:rsidR="00231A66">
        <w:rPr>
          <w:rFonts w:cs="Arial"/>
          <w:szCs w:val="22"/>
          <w:highlight w:val="yellow"/>
        </w:rPr>
        <w:t>125B</w:t>
      </w:r>
      <w:r w:rsidR="00231A66" w:rsidRPr="00C915B5">
        <w:rPr>
          <w:rFonts w:cs="Arial"/>
          <w:szCs w:val="22"/>
          <w:highlight w:val="yellow"/>
        </w:rPr>
        <w:t>xxxx</w:t>
      </w:r>
      <w:r w:rsidRPr="00C915B5">
        <w:rPr>
          <w:rFonts w:cs="Arial"/>
          <w:szCs w:val="22"/>
          <w:highlight w:val="yellow"/>
        </w:rPr>
        <w:t>/</w:t>
      </w:r>
      <w:r w:rsidR="00231A66" w:rsidRPr="00C915B5">
        <w:rPr>
          <w:rFonts w:cs="Arial"/>
          <w:szCs w:val="22"/>
          <w:highlight w:val="yellow"/>
        </w:rPr>
        <w:t>SP190</w:t>
      </w:r>
      <w:r w:rsidR="00231A66">
        <w:rPr>
          <w:rFonts w:cs="Arial"/>
          <w:szCs w:val="22"/>
          <w:highlight w:val="yellow"/>
        </w:rPr>
        <w:t>B</w:t>
      </w:r>
      <w:r w:rsidR="00231A66" w:rsidRPr="00C915B5">
        <w:rPr>
          <w:rFonts w:cs="Arial"/>
          <w:szCs w:val="22"/>
          <w:highlight w:val="yellow"/>
        </w:rPr>
        <w:t>xxxx</w:t>
      </w:r>
      <w:r w:rsidRPr="00C915B5">
        <w:rPr>
          <w:rFonts w:cs="Arial"/>
          <w:szCs w:val="22"/>
        </w:rPr>
        <w:t xml:space="preserve">.  </w:t>
      </w:r>
    </w:p>
    <w:p w14:paraId="45F7C6B9" w14:textId="77777777" w:rsidR="00DB6ADC" w:rsidRDefault="00DB6ADC" w:rsidP="00756830">
      <w:pPr>
        <w:rPr>
          <w:rFonts w:cs="Arial"/>
          <w:szCs w:val="22"/>
        </w:rPr>
      </w:pPr>
    </w:p>
    <w:p w14:paraId="1F0D346B" w14:textId="77777777" w:rsidR="00756830" w:rsidRPr="00756830" w:rsidRDefault="00756830" w:rsidP="00756830">
      <w:pPr>
        <w:rPr>
          <w:rFonts w:cs="Arial"/>
          <w:szCs w:val="22"/>
        </w:rPr>
      </w:pPr>
    </w:p>
    <w:sectPr w:rsidR="00756830" w:rsidRPr="00756830" w:rsidSect="00ED16E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13676"/>
    <w:multiLevelType w:val="hybridMultilevel"/>
    <w:tmpl w:val="2E0CDE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9853F6"/>
    <w:multiLevelType w:val="hybridMultilevel"/>
    <w:tmpl w:val="AEA22B50"/>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6F82F81"/>
    <w:multiLevelType w:val="hybridMultilevel"/>
    <w:tmpl w:val="5860D3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1A007C2"/>
    <w:multiLevelType w:val="multilevel"/>
    <w:tmpl w:val="BBC06804"/>
    <w:lvl w:ilvl="0">
      <w:start w:val="1"/>
      <w:numFmt w:val="decimal"/>
      <w:lvlText w:val="%1.0"/>
      <w:lvlJc w:val="left"/>
      <w:pPr>
        <w:ind w:left="420" w:hanging="420"/>
      </w:pPr>
      <w:rPr>
        <w:rFonts w:hint="default"/>
        <w:b/>
      </w:rPr>
    </w:lvl>
    <w:lvl w:ilvl="1">
      <w:start w:val="1"/>
      <w:numFmt w:val="decimal"/>
      <w:lvlText w:val="%1.%2"/>
      <w:lvlJc w:val="left"/>
      <w:pPr>
        <w:ind w:left="78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368B2FEA"/>
    <w:multiLevelType w:val="multilevel"/>
    <w:tmpl w:val="C08E8F1E"/>
    <w:lvl w:ilvl="0">
      <w:start w:val="1"/>
      <w:numFmt w:val="decimal"/>
      <w:lvlText w:val="%1.0"/>
      <w:lvlJc w:val="left"/>
      <w:pPr>
        <w:ind w:left="405" w:hanging="405"/>
      </w:pPr>
      <w:rPr>
        <w:rFonts w:hint="default"/>
        <w:b/>
      </w:rPr>
    </w:lvl>
    <w:lvl w:ilvl="1">
      <w:start w:val="1"/>
      <w:numFmt w:val="decimal"/>
      <w:lvlText w:val="%1.%2"/>
      <w:lvlJc w:val="left"/>
      <w:pPr>
        <w:ind w:left="1125" w:hanging="40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45627491"/>
    <w:multiLevelType w:val="hybridMultilevel"/>
    <w:tmpl w:val="592437C8"/>
    <w:lvl w:ilvl="0" w:tplc="1C241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B41801"/>
    <w:multiLevelType w:val="hybridMultilevel"/>
    <w:tmpl w:val="940AD6D4"/>
    <w:lvl w:ilvl="0" w:tplc="3968D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F340FC"/>
    <w:multiLevelType w:val="multilevel"/>
    <w:tmpl w:val="FDAEC3AA"/>
    <w:lvl w:ilvl="0">
      <w:start w:val="2"/>
      <w:numFmt w:val="decimal"/>
      <w:lvlText w:val="%1"/>
      <w:lvlJc w:val="left"/>
      <w:pPr>
        <w:ind w:left="360" w:hanging="360"/>
      </w:pPr>
      <w:rPr>
        <w:rFonts w:hint="default"/>
        <w:b/>
        <w:color w:val="auto"/>
      </w:rPr>
    </w:lvl>
    <w:lvl w:ilvl="1">
      <w:start w:val="1"/>
      <w:numFmt w:val="decimal"/>
      <w:lvlText w:val="%1.%2"/>
      <w:lvlJc w:val="left"/>
      <w:pPr>
        <w:ind w:left="45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8" w15:restartNumberingAfterBreak="0">
    <w:nsid w:val="5C240D63"/>
    <w:multiLevelType w:val="hybridMultilevel"/>
    <w:tmpl w:val="1C2E756A"/>
    <w:lvl w:ilvl="0" w:tplc="3F226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A22BA6"/>
    <w:multiLevelType w:val="hybridMultilevel"/>
    <w:tmpl w:val="8D0EBE28"/>
    <w:lvl w:ilvl="0" w:tplc="0409000F">
      <w:start w:val="1"/>
      <w:numFmt w:val="decimal"/>
      <w:lvlText w:val="%1."/>
      <w:lvlJc w:val="left"/>
      <w:pPr>
        <w:tabs>
          <w:tab w:val="num" w:pos="1800"/>
        </w:tabs>
        <w:ind w:left="1800" w:hanging="360"/>
      </w:pPr>
      <w:rPr>
        <w:rFonts w:hint="default"/>
      </w:rPr>
    </w:lvl>
    <w:lvl w:ilvl="1" w:tplc="17CACA9A">
      <w:start w:val="4"/>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79515FA7"/>
    <w:multiLevelType w:val="multilevel"/>
    <w:tmpl w:val="B7A24C94"/>
    <w:lvl w:ilvl="0">
      <w:start w:val="1"/>
      <w:numFmt w:val="decimal"/>
      <w:lvlText w:val="%1.0"/>
      <w:lvlJc w:val="left"/>
      <w:pPr>
        <w:ind w:left="570" w:hanging="570"/>
      </w:pPr>
      <w:rPr>
        <w:rFonts w:hint="default"/>
        <w:b/>
      </w:rPr>
    </w:lvl>
    <w:lvl w:ilvl="1">
      <w:start w:val="1"/>
      <w:numFmt w:val="decimal"/>
      <w:lvlText w:val="%1.%2"/>
      <w:lvlJc w:val="left"/>
      <w:pPr>
        <w:ind w:left="1290" w:hanging="57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1" w15:restartNumberingAfterBreak="0">
    <w:nsid w:val="7F884D5A"/>
    <w:multiLevelType w:val="hybridMultilevel"/>
    <w:tmpl w:val="61DCD0B6"/>
    <w:lvl w:ilvl="0" w:tplc="FF5C2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5"/>
  </w:num>
  <w:num w:numId="4">
    <w:abstractNumId w:val="10"/>
  </w:num>
  <w:num w:numId="5">
    <w:abstractNumId w:val="4"/>
  </w:num>
  <w:num w:numId="6">
    <w:abstractNumId w:val="0"/>
  </w:num>
  <w:num w:numId="7">
    <w:abstractNumId w:val="2"/>
  </w:num>
  <w:num w:numId="8">
    <w:abstractNumId w:val="9"/>
  </w:num>
  <w:num w:numId="9">
    <w:abstractNumId w:val="8"/>
  </w:num>
  <w:num w:numId="10">
    <w:abstractNumId w:val="6"/>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80"/>
    <w:rsid w:val="000614BA"/>
    <w:rsid w:val="000906DC"/>
    <w:rsid w:val="000A476A"/>
    <w:rsid w:val="000D2059"/>
    <w:rsid w:val="001222AE"/>
    <w:rsid w:val="00142F5E"/>
    <w:rsid w:val="001E214F"/>
    <w:rsid w:val="001E427C"/>
    <w:rsid w:val="00230797"/>
    <w:rsid w:val="00231A66"/>
    <w:rsid w:val="002B5004"/>
    <w:rsid w:val="002D60B6"/>
    <w:rsid w:val="003433D3"/>
    <w:rsid w:val="00350668"/>
    <w:rsid w:val="003A46D0"/>
    <w:rsid w:val="003B35E6"/>
    <w:rsid w:val="003D7EA4"/>
    <w:rsid w:val="003E1E77"/>
    <w:rsid w:val="003F19A4"/>
    <w:rsid w:val="004153A3"/>
    <w:rsid w:val="004439BD"/>
    <w:rsid w:val="00454F91"/>
    <w:rsid w:val="00471115"/>
    <w:rsid w:val="00491580"/>
    <w:rsid w:val="00492319"/>
    <w:rsid w:val="004D0922"/>
    <w:rsid w:val="004E7B2C"/>
    <w:rsid w:val="004F4C29"/>
    <w:rsid w:val="00501038"/>
    <w:rsid w:val="00505492"/>
    <w:rsid w:val="00537C2E"/>
    <w:rsid w:val="00586023"/>
    <w:rsid w:val="005941D2"/>
    <w:rsid w:val="005B3F24"/>
    <w:rsid w:val="00613B79"/>
    <w:rsid w:val="00615FFB"/>
    <w:rsid w:val="00627EE5"/>
    <w:rsid w:val="00652093"/>
    <w:rsid w:val="0067572C"/>
    <w:rsid w:val="006C3525"/>
    <w:rsid w:val="00716DCB"/>
    <w:rsid w:val="00730F0C"/>
    <w:rsid w:val="00756830"/>
    <w:rsid w:val="007E782E"/>
    <w:rsid w:val="007F52BC"/>
    <w:rsid w:val="00826915"/>
    <w:rsid w:val="008329F6"/>
    <w:rsid w:val="00842F29"/>
    <w:rsid w:val="0086060B"/>
    <w:rsid w:val="0087739A"/>
    <w:rsid w:val="008A1475"/>
    <w:rsid w:val="008B78C9"/>
    <w:rsid w:val="008E763D"/>
    <w:rsid w:val="008F5AE9"/>
    <w:rsid w:val="00907394"/>
    <w:rsid w:val="00916AC2"/>
    <w:rsid w:val="009360C2"/>
    <w:rsid w:val="00970084"/>
    <w:rsid w:val="00991691"/>
    <w:rsid w:val="009B7625"/>
    <w:rsid w:val="009C599E"/>
    <w:rsid w:val="009E1C10"/>
    <w:rsid w:val="009F70B2"/>
    <w:rsid w:val="00A117ED"/>
    <w:rsid w:val="00A75B4F"/>
    <w:rsid w:val="00A852B7"/>
    <w:rsid w:val="00AC6B3C"/>
    <w:rsid w:val="00AE12CE"/>
    <w:rsid w:val="00B331D6"/>
    <w:rsid w:val="00BD14D6"/>
    <w:rsid w:val="00C52C2C"/>
    <w:rsid w:val="00C705A0"/>
    <w:rsid w:val="00C915B5"/>
    <w:rsid w:val="00CB0F65"/>
    <w:rsid w:val="00CC4407"/>
    <w:rsid w:val="00CD62B1"/>
    <w:rsid w:val="00CE1138"/>
    <w:rsid w:val="00CF6C92"/>
    <w:rsid w:val="00D34739"/>
    <w:rsid w:val="00D57A6B"/>
    <w:rsid w:val="00D64E88"/>
    <w:rsid w:val="00D9243C"/>
    <w:rsid w:val="00DB6ADC"/>
    <w:rsid w:val="00DD2747"/>
    <w:rsid w:val="00DF2CB5"/>
    <w:rsid w:val="00E00E96"/>
    <w:rsid w:val="00E12E43"/>
    <w:rsid w:val="00E14BBA"/>
    <w:rsid w:val="00E14E12"/>
    <w:rsid w:val="00E23BC3"/>
    <w:rsid w:val="00E3616A"/>
    <w:rsid w:val="00E63364"/>
    <w:rsid w:val="00E93029"/>
    <w:rsid w:val="00EC07CB"/>
    <w:rsid w:val="00ED16E1"/>
    <w:rsid w:val="00ED7B05"/>
    <w:rsid w:val="00F017C6"/>
    <w:rsid w:val="00F83781"/>
    <w:rsid w:val="00F94E9E"/>
    <w:rsid w:val="00FC3832"/>
    <w:rsid w:val="00FC44CF"/>
    <w:rsid w:val="00FD225E"/>
    <w:rsid w:val="00FD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21733"/>
  <w15:docId w15:val="{6E42954C-A6B9-4436-AF54-ADF0A136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5A0"/>
    <w:pPr>
      <w:spacing w:after="0" w:line="240" w:lineRule="auto"/>
      <w:jc w:val="both"/>
    </w:pPr>
    <w:rPr>
      <w:sz w:val="22"/>
    </w:rPr>
  </w:style>
  <w:style w:type="paragraph" w:styleId="Heading1">
    <w:name w:val="heading 1"/>
    <w:basedOn w:val="Normal"/>
    <w:next w:val="Normal"/>
    <w:link w:val="Heading1Char"/>
    <w:uiPriority w:val="9"/>
    <w:qFormat/>
    <w:rsid w:val="00756830"/>
    <w:pPr>
      <w:outlineLvl w:val="0"/>
    </w:pPr>
    <w:rPr>
      <w:rFonts w:cs="Arial"/>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580"/>
    <w:pPr>
      <w:ind w:left="720"/>
      <w:contextualSpacing/>
    </w:pPr>
  </w:style>
  <w:style w:type="table" w:styleId="TableGrid">
    <w:name w:val="Table Grid"/>
    <w:basedOn w:val="TableNormal"/>
    <w:rsid w:val="00491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9">
    <w:name w:val="CM9"/>
    <w:basedOn w:val="Normal"/>
    <w:next w:val="Normal"/>
    <w:rsid w:val="000D2059"/>
    <w:pPr>
      <w:widowControl w:val="0"/>
      <w:autoSpaceDE w:val="0"/>
      <w:autoSpaceDN w:val="0"/>
      <w:adjustRightInd w:val="0"/>
    </w:pPr>
    <w:rPr>
      <w:rFonts w:ascii="Times New Roman" w:eastAsia="Times New Roman" w:hAnsi="Times New Roman" w:cs="Times New Roman"/>
    </w:rPr>
  </w:style>
  <w:style w:type="paragraph" w:customStyle="1" w:styleId="Default">
    <w:name w:val="Default"/>
    <w:rsid w:val="00F94E9E"/>
    <w:pPr>
      <w:widowControl w:val="0"/>
      <w:autoSpaceDE w:val="0"/>
      <w:autoSpaceDN w:val="0"/>
      <w:adjustRightInd w:val="0"/>
      <w:spacing w:after="0" w:line="240" w:lineRule="auto"/>
    </w:pPr>
    <w:rPr>
      <w:rFonts w:ascii="Times New Roman" w:eastAsia="Times New Roman" w:hAnsi="Times New Roman" w:cs="Times New Roman"/>
      <w:color w:val="000000"/>
    </w:rPr>
  </w:style>
  <w:style w:type="paragraph" w:customStyle="1" w:styleId="CM13">
    <w:name w:val="CM13"/>
    <w:basedOn w:val="Default"/>
    <w:next w:val="Default"/>
    <w:rsid w:val="00F94E9E"/>
    <w:pPr>
      <w:spacing w:after="295"/>
    </w:pPr>
    <w:rPr>
      <w:color w:val="auto"/>
    </w:rPr>
  </w:style>
  <w:style w:type="paragraph" w:styleId="BalloonText">
    <w:name w:val="Balloon Text"/>
    <w:basedOn w:val="Normal"/>
    <w:link w:val="BalloonTextChar"/>
    <w:uiPriority w:val="99"/>
    <w:semiHidden/>
    <w:unhideWhenUsed/>
    <w:rsid w:val="003D7EA4"/>
    <w:rPr>
      <w:rFonts w:ascii="Tahoma" w:hAnsi="Tahoma" w:cs="Tahoma"/>
      <w:sz w:val="16"/>
      <w:szCs w:val="16"/>
    </w:rPr>
  </w:style>
  <w:style w:type="character" w:customStyle="1" w:styleId="BalloonTextChar">
    <w:name w:val="Balloon Text Char"/>
    <w:basedOn w:val="DefaultParagraphFont"/>
    <w:link w:val="BalloonText"/>
    <w:uiPriority w:val="99"/>
    <w:semiHidden/>
    <w:rsid w:val="003D7EA4"/>
    <w:rPr>
      <w:rFonts w:ascii="Tahoma" w:hAnsi="Tahoma" w:cs="Tahoma"/>
      <w:sz w:val="16"/>
      <w:szCs w:val="16"/>
    </w:rPr>
  </w:style>
  <w:style w:type="character" w:customStyle="1" w:styleId="CM13Char">
    <w:name w:val="CM13 Char"/>
    <w:basedOn w:val="DefaultParagraphFont"/>
    <w:rsid w:val="00CE1138"/>
    <w:rPr>
      <w:color w:val="000000"/>
      <w:sz w:val="24"/>
      <w:szCs w:val="24"/>
      <w:lang w:val="en-US" w:eastAsia="en-US" w:bidi="ar-SA"/>
    </w:rPr>
  </w:style>
  <w:style w:type="table" w:customStyle="1" w:styleId="TableGrid1">
    <w:name w:val="Table Grid1"/>
    <w:basedOn w:val="TableNormal"/>
    <w:next w:val="TableGrid"/>
    <w:rsid w:val="004D09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2747"/>
    <w:rPr>
      <w:sz w:val="16"/>
      <w:szCs w:val="16"/>
    </w:rPr>
  </w:style>
  <w:style w:type="paragraph" w:styleId="CommentText">
    <w:name w:val="annotation text"/>
    <w:basedOn w:val="Normal"/>
    <w:link w:val="CommentTextChar"/>
    <w:uiPriority w:val="99"/>
    <w:semiHidden/>
    <w:unhideWhenUsed/>
    <w:rsid w:val="00DD2747"/>
    <w:rPr>
      <w:sz w:val="20"/>
      <w:szCs w:val="20"/>
    </w:rPr>
  </w:style>
  <w:style w:type="character" w:customStyle="1" w:styleId="CommentTextChar">
    <w:name w:val="Comment Text Char"/>
    <w:basedOn w:val="DefaultParagraphFont"/>
    <w:link w:val="CommentText"/>
    <w:uiPriority w:val="99"/>
    <w:semiHidden/>
    <w:rsid w:val="00DD2747"/>
    <w:rPr>
      <w:sz w:val="20"/>
      <w:szCs w:val="20"/>
    </w:rPr>
  </w:style>
  <w:style w:type="paragraph" w:styleId="CommentSubject">
    <w:name w:val="annotation subject"/>
    <w:basedOn w:val="CommentText"/>
    <w:next w:val="CommentText"/>
    <w:link w:val="CommentSubjectChar"/>
    <w:uiPriority w:val="99"/>
    <w:semiHidden/>
    <w:unhideWhenUsed/>
    <w:rsid w:val="00DD2747"/>
    <w:rPr>
      <w:b/>
      <w:bCs/>
    </w:rPr>
  </w:style>
  <w:style w:type="character" w:customStyle="1" w:styleId="CommentSubjectChar">
    <w:name w:val="Comment Subject Char"/>
    <w:basedOn w:val="CommentTextChar"/>
    <w:link w:val="CommentSubject"/>
    <w:uiPriority w:val="99"/>
    <w:semiHidden/>
    <w:rsid w:val="00DD2747"/>
    <w:rPr>
      <w:b/>
      <w:bCs/>
      <w:sz w:val="20"/>
      <w:szCs w:val="20"/>
    </w:rPr>
  </w:style>
  <w:style w:type="character" w:customStyle="1" w:styleId="Heading1Char">
    <w:name w:val="Heading 1 Char"/>
    <w:basedOn w:val="DefaultParagraphFont"/>
    <w:link w:val="Heading1"/>
    <w:uiPriority w:val="9"/>
    <w:rsid w:val="00756830"/>
    <w:rPr>
      <w:rFonts w:cs="Arial"/>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0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SP_Section xmlns="00ca3444-dc36-48d0-8ed3-fecfe750809b">0401 - Plant Mix Bituminous Base and Pavement</JSP_Section>
    <Job xmlns="00ca3444-dc36-48d0-8ed3-fecfe750809b" xsi:nil="true"/>
    <Accountable_Division xmlns="00ca3444-dc36-48d0-8ed3-fecfe750809b">Construction and Materials</Accountable_Division>
    <Frequently_x0020_Used xmlns="00ca3444-dc36-48d0-8ed3-fecfe750809b">false</Frequently_x0020_Used>
    <ExplanatoryNotes xmlns="00ca3444-dc36-48d0-8ed3-fecfe750809b">08/01/22- just corrected formatting of document
05/27/20 - C - Revised sentences in 3.2 to correct the fiber application rate. 
06/19/19 - Fixed Document properties. 
09/19/18 - Added language allowing manual feeding of fibers for projects less than 2000 tons.
12/19/17 - Updated material requirements; test methods need to go into electronic deliverables
12/07/17 - New non-standard JSP</ExplanatoryNotes>
    <ShortName xmlns="00ca3444-dc36-48d0-8ed3-fecfe750809b" xsi:nil="true"/>
    <First_Effective_Bid_Opening_Date xmlns="00ca3444-dc36-48d0-8ed3-fecfe750809b">August 2020</First_Effective_Bid_Opening_Date>
    <JSP_Author xmlns="00ca3444-dc36-48d0-8ed3-fecfe750809b">Jason Blomberg</JSP_Author>
    <Revision_Date xmlns="00ca3444-dc36-48d0-8ed3-fecfe750809b">2022-08-01T05:00:00+00:00</Revision_Date>
    <JSP_Title xmlns="00ca3444-dc36-48d0-8ed3-fecfe750809b">Reinforcing Fibers for Bituminous Pavement Material *</JSP_Title>
    <Explanatory_Notes xmlns="00ca3444-dc36-48d0-8ed3-fecfe750809b">* Limited Use. Requires approval from Construction and Materials Division prior to use; ADSR Test Methods Document required with Electronic Deliverables.</Explanatory_Notes>
    <JSP_ID_Num xmlns="00ca3444-dc36-48d0-8ed3-fecfe750809b">NJSP-17-06C</JSP_ID_Num>
    <Active_x002f_Inactive xmlns="00ca3444-dc36-48d0-8ed3-fecfe750809b">Active</Active_x002f_Inactive>
    <JSP_Type xmlns="00ca3444-dc36-48d0-8ed3-fecfe750809b">Provision</JSP_Type>
    <Effective_x0020_Letting xmlns="00ca3444-dc36-48d0-8ed3-fecfe750809b" xsi:nil="tru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AE0086C2-A7A5-4A41-9A74-5F026A7CAF88}">
  <ds:schemaRefs>
    <ds:schemaRef ds:uri="http://schemas.microsoft.com/office/2006/metadata/properties"/>
    <ds:schemaRef ds:uri="http://schemas.microsoft.com/office/infopath/2007/PartnerControls"/>
    <ds:schemaRef ds:uri="40322e2f-e1f5-4cea-aee5-b92aa1fdda9a"/>
  </ds:schemaRefs>
</ds:datastoreItem>
</file>

<file path=customXml/itemProps2.xml><?xml version="1.0" encoding="utf-8"?>
<ds:datastoreItem xmlns:ds="http://schemas.openxmlformats.org/officeDocument/2006/customXml" ds:itemID="{25489DD1-8D87-4410-A9FC-FDE735845FCD}">
  <ds:schemaRefs>
    <ds:schemaRef ds:uri="http://schemas.microsoft.com/office/2006/metadata/customXsn"/>
  </ds:schemaRefs>
</ds:datastoreItem>
</file>

<file path=customXml/itemProps3.xml><?xml version="1.0" encoding="utf-8"?>
<ds:datastoreItem xmlns:ds="http://schemas.openxmlformats.org/officeDocument/2006/customXml" ds:itemID="{B3136D2A-F2D8-484B-A62D-A6C7A546AA74}"/>
</file>

<file path=customXml/itemProps4.xml><?xml version="1.0" encoding="utf-8"?>
<ds:datastoreItem xmlns:ds="http://schemas.openxmlformats.org/officeDocument/2006/customXml" ds:itemID="{A4ABBBF7-787F-4D1E-9279-FC881DDCE75C}"/>
</file>

<file path=docProps/app.xml><?xml version="1.0" encoding="utf-8"?>
<Properties xmlns="http://schemas.openxmlformats.org/officeDocument/2006/extended-properties" xmlns:vt="http://schemas.openxmlformats.org/officeDocument/2006/docPropsVTypes">
  <Template>Normal</Template>
  <TotalTime>3</TotalTime>
  <Pages>3</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Reinforcing Fibers for Bituminous Pavement Material</vt:lpstr>
    </vt:vector>
  </TitlesOfParts>
  <Company>MoDOT</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Reinforcing Fibers for Bituminous Pavement Material</dc:title>
  <dc:creator>Samual Niederhelm</dc:creator>
  <cp:lastModifiedBy>Jen Haller</cp:lastModifiedBy>
  <cp:revision>3</cp:revision>
  <cp:lastPrinted>2015-02-17T20:20:00Z</cp:lastPrinted>
  <dcterms:created xsi:type="dcterms:W3CDTF">2022-08-01T13:16:00Z</dcterms:created>
  <dcterms:modified xsi:type="dcterms:W3CDTF">2022-08-01T13:18:00Z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0x010100F84DEB81849E344AA4D2093FC6E95592</vt:lpwstr>
  </property>
  <property fmtid="{D5CDD505-2E9C-101B-9397-08002B2CF9AE}" pid="3" name="JSP_Author0">
    <vt:lpwstr/>
  </property>
  <property fmtid="{D5CDD505-2E9C-101B-9397-08002B2CF9AE}" pid="4" name="JSP_Type0">
    <vt:lpwstr/>
  </property>
  <property fmtid="{D5CDD505-2E9C-101B-9397-08002B2CF9AE}" pid="5" name="ExplanatoryNotes0">
    <vt:lpwstr/>
  </property>
  <property fmtid="{D5CDD505-2E9C-101B-9397-08002B2CF9AE}" pid="6" name="Order">
    <vt:r8>51400</vt:r8>
  </property>
  <property fmtid="{D5CDD505-2E9C-101B-9397-08002B2CF9AE}" pid="7" name="Revision Request Number">
    <vt:lpwstr/>
  </property>
  <property fmtid="{D5CDD505-2E9C-101B-9397-08002B2CF9AE}" pid="8" name="Last_Effective_Bid_Opening_Date">
    <vt:lpwstr/>
  </property>
  <property fmtid="{D5CDD505-2E9C-101B-9397-08002B2CF9AE}" pid="9" name="ShortName0">
    <vt:lpwstr/>
  </property>
  <property fmtid="{D5CDD505-2E9C-101B-9397-08002B2CF9AE}" pid="10" name="NotesID0">
    <vt:lpwstr/>
  </property>
  <property fmtid="{D5CDD505-2E9C-101B-9397-08002B2CF9AE}" pid="11" name="Explanatory_Notes0">
    <vt:lpwstr/>
  </property>
  <property fmtid="{D5CDD505-2E9C-101B-9397-08002B2CF9AE}" pid="12" name="Units0">
    <vt:lpwstr/>
  </property>
  <property fmtid="{D5CDD505-2E9C-101B-9397-08002B2CF9AE}" pid="13" name="Last_Modified0">
    <vt:lpwstr/>
  </property>
  <property fmtid="{D5CDD505-2E9C-101B-9397-08002B2CF9AE}" pid="14" name="JSP_Title0">
    <vt:lpwstr/>
  </property>
  <property fmtid="{D5CDD505-2E9C-101B-9397-08002B2CF9AE}" pid="15" name="Current Version">
    <vt:lpwstr/>
  </property>
  <property fmtid="{D5CDD505-2E9C-101B-9397-08002B2CF9AE}" pid="16" name="Accountable_Division0">
    <vt:lpwstr/>
  </property>
  <property fmtid="{D5CDD505-2E9C-101B-9397-08002B2CF9AE}" pid="17" name="Draft0">
    <vt:lpwstr/>
  </property>
  <property fmtid="{D5CDD505-2E9C-101B-9397-08002B2CF9AE}" pid="18" name="JSP_Section0">
    <vt:lpwstr/>
  </property>
  <property fmtid="{D5CDD505-2E9C-101B-9397-08002B2CF9AE}" pid="19" name="FileAttach0">
    <vt:lpwstr/>
  </property>
  <property fmtid="{D5CDD505-2E9C-101B-9397-08002B2CF9AE}" pid="20" name="Active/Inactive0">
    <vt:lpwstr/>
  </property>
  <property fmtid="{D5CDD505-2E9C-101B-9397-08002B2CF9AE}" pid="21" name="First_Effective_Bid_Opening_Date0">
    <vt:lpwstr/>
  </property>
  <property fmtid="{D5CDD505-2E9C-101B-9397-08002B2CF9AE}" pid="23" name="Frequently Used0">
    <vt:bool>false</vt:bool>
  </property>
  <property fmtid="{D5CDD505-2E9C-101B-9397-08002B2CF9AE}" pid="24" name="Last_Modified">
    <vt:lpwstr>9/19/18</vt:lpwstr>
  </property>
</Properties>
</file>