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bookmarkStart w:id="0" w:name="_GoBack"/>
      <w:bookmarkEnd w:id="0"/>
      <w:r>
        <w:rPr>
          <w:color w:val="000000"/>
          <w:sz w:val="18"/>
        </w:rPr>
        <w:t>This report has been prepared in conformity with the Uniform Standards of Professional Appraisal Practice, in the appraisal of realty and realty rights</w:t>
      </w:r>
      <w:r>
        <w:rPr>
          <w:sz w:val="18"/>
        </w:rPr>
        <w:t xml:space="preserve"> except to the extent that the </w:t>
      </w:r>
      <w:r>
        <w:rPr>
          <w:i/>
          <w:sz w:val="18"/>
        </w:rPr>
        <w:t xml:space="preserve">Uniform Appraisal Standards for Federal Land Acquisitions </w:t>
      </w:r>
      <w:r>
        <w:rPr>
          <w:sz w:val="18"/>
        </w:rPr>
        <w:t xml:space="preserve">required invocation of USPAP’s Jurisdictional Exception </w:t>
      </w:r>
      <w:commentRangeStart w:id="1"/>
      <w:r>
        <w:rPr>
          <w:sz w:val="18"/>
        </w:rPr>
        <w:t>Rule</w:t>
      </w:r>
      <w:commentRangeEnd w:id="1"/>
      <w:r>
        <w:rPr>
          <w:rStyle w:val="CommentReference"/>
          <w:vanish/>
          <w:sz w:val="18"/>
        </w:rPr>
        <w:commentReference w:id="1"/>
      </w:r>
      <w:r>
        <w:rPr>
          <w:color w:val="000000"/>
          <w:sz w:val="18"/>
        </w:rPr>
        <w:t>.</w:t>
      </w: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The appraiser assumes no responsibility for matters legal in character, nor does he/she render any opinion as to the title, which is assumed to be good.  Unless otherwise specified in the report, the property is analyzed as though free and clear and under responsible ownership and competent management.</w:t>
      </w: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Information furnished by others is assumed to be true, correct and reliable.  A reasonable effort has been made to verify such information; however, the appraiser assumes no responsibility for its accuracy.  The value conclusions are subject to the correctness of said data.</w:t>
      </w: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The appraiser assumes that all applicable zoning and use regulations and restrictions have been complied with, unless nonconformity had been stated, defined, and considered in the appraisal report.  The appraiser assumes that all required licenses, certificates of occupancy, consents, or other legislative or administrative authority from any local, state, or national government or private entity or organization have been or can be obtained or renewed for any use on which the value estimate contained in this report is based.</w:t>
      </w: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The appraiser has noted in the appraisal report any adverse conditions (such as, needed repairs, depreciation, the presence of hazardous wastes, toxic substances, etc.) observed during the inspection of the subject property or that he/she became aware of during the normal research involved in performing the appraisal.  Unless otherwise stated in the appraisal report, the appraiser has no knowledge of any hidden or unapparent conditions of the property or adverse environmental conditions (including the presence of hazardous wastes, toxic substances, etc.) that would make the property more or less valuable, and has assumed that there are no such conditions and makes no guarantees or warranties, express or implied, regarding the condition of the property.  The appraiser will not be responsible for any such conditions that do exist or for any engineering or testing that might be required to discover whether such conditions exist.  Because the appraiser is not an expert in the field of environmental hazards, the appraisal report must not be considered as an environmental assessment of the property.</w:t>
      </w: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The appraiser has made no engineering survey.  Except as specifically stated, data relative to size and areas were taken from sources considered reliable.  The utilization of the land and improvements is within the boundaries or property lines of the property described and that there is no encroachment or trespass unless noted in the report.</w:t>
      </w: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The distribution of the total valuation in this report between land, improvements and estimated damages applies only under the reported highest and best use of the property.  The allocations of value for land and improvements must not be used in conjunction with any other appraisal and are invalid if so used.</w:t>
      </w: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The appraisal is for purposes of valuation only and is not to be taken, used or represented as an endorsement or guarantee of the physical, structural or equipment conditions which exist in the property.  It is assumed that there are no hidden defects that would not be apparent from visual inspection and that all equipment is operable unless otherwise indicated by the owner or owner's representative.</w:t>
      </w: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All maps, plats, and exhibits included herein are for illustration only, as an aid in visualizing matters discussed within the report.  They should not be considered as surveys or relied upon for any other purpose.</w:t>
      </w: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Consideration has not been given in this appraisal to personal property located on the premises, or to the cost of moving or relocating such personal property unless otherwise stated.</w:t>
      </w: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 xml:space="preserve">Possession of this report or any copy hereof does not carry with it the right of publication, nor may the same be used for any purpose by any party except the Missouri Department of Transportation without the previous written consent of the appraiser, and in any event, only in its entirety and with proper qualification.  Neither all nor any part of the contents of this report shall be conveyed to the public through advertising, public relation, news, sales or other media without the written consent and approval of author, </w:t>
      </w:r>
      <w:r>
        <w:rPr>
          <w:sz w:val="18"/>
        </w:rPr>
        <w:t>The appraiser acknowledges that a copy of the report will be provided to the owner of the property appraised, or their representative.</w:t>
      </w:r>
      <w:r>
        <w:rPr>
          <w:color w:val="000000"/>
          <w:sz w:val="18"/>
        </w:rPr>
        <w:t xml:space="preserve"> No opinion is expressed as to the value of subsurface oil, gas, or mineral rights and that the property is not subject to surface entry for the exploration or removal of such materials except as is expressly stated.  No consideration has been given in the appraisal to the value, if any, attributable to growing crops on any portion of the property appraised unless otherwise stated.</w:t>
      </w: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The estimated value after acquisition is based on the project being constructed in the manner proposed, as furnished to the appraiser as of the date of appraisal.</w:t>
      </w:r>
    </w:p>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307A61" w:rsidRDefault="00307A61">
      <w:pPr>
        <w:pStyle w:val="BodyText"/>
      </w:pPr>
      <w:r>
        <w:t xml:space="preserve">It is assumed that drainage, surface condition of land and easements, access, access during construction will not be detrimental to the value of the property, unless otherwise stated and addressed in the report. </w:t>
      </w:r>
    </w:p>
    <w:sectPr w:rsidR="00307A61">
      <w:headerReference w:type="default" r:id="rId10"/>
      <w:footerReference w:type="default" r:id="rId11"/>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martij3" w:initials="m">
    <w:p w:rsidR="00307A61" w:rsidRDefault="00307A61">
      <w:pPr>
        <w:pStyle w:val="CommentText"/>
      </w:pPr>
      <w:r>
        <w:fldChar w:fldCharType="begin"/>
      </w:r>
      <w:r>
        <w:instrText>PAGE \# "'Page: '#'</w:instrText>
      </w:r>
      <w:r>
        <w:br/>
        <w:instrText>'"</w:instrText>
      </w:r>
      <w:r>
        <w:rPr>
          <w:rStyle w:val="CommentReference"/>
        </w:rPr>
        <w:instrText xml:space="preserve">  </w:instrText>
      </w:r>
      <w:r>
        <w:fldChar w:fldCharType="end"/>
      </w:r>
      <w:r>
        <w:rPr>
          <w:rStyle w:val="CommentReference"/>
        </w:rPr>
        <w:annotationRef/>
      </w:r>
      <w:r>
        <w:t xml:space="preserve"> UASFLA Page 9</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B55" w:rsidRDefault="00172B55" w:rsidP="00307A61">
      <w:r>
        <w:separator/>
      </w:r>
    </w:p>
  </w:endnote>
  <w:endnote w:type="continuationSeparator" w:id="0">
    <w:p w:rsidR="00172B55" w:rsidRDefault="00172B55" w:rsidP="00307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A61" w:rsidRDefault="00874E24">
    <w:pPr>
      <w:pStyle w:val="Footer"/>
      <w:rPr>
        <w:b/>
        <w:bCs/>
      </w:rPr>
    </w:pPr>
    <w:r>
      <w:rPr>
        <w:b/>
        <w:bCs/>
      </w:rPr>
      <w:t>EPG</w:t>
    </w:r>
    <w:r w:rsidR="00307A61">
      <w:rPr>
        <w:b/>
        <w:bCs/>
      </w:rPr>
      <w:t xml:space="preserve"> </w:t>
    </w:r>
    <w:r w:rsidR="004903F8">
      <w:rPr>
        <w:b/>
        <w:bCs/>
      </w:rPr>
      <w:t>1</w:t>
    </w:r>
    <w:r w:rsidR="00307A61">
      <w:rPr>
        <w:b/>
        <w:bCs/>
      </w:rPr>
      <w:t>36.8.6.3.</w:t>
    </w:r>
    <w:r w:rsidR="00307A61">
      <w:rPr>
        <w:b/>
        <w:bCs/>
      </w:rPr>
      <w:tab/>
    </w:r>
    <w:r w:rsidR="00307A61">
      <w:rPr>
        <w:b/>
        <w:bCs/>
      </w:rPr>
      <w:tab/>
      <w:t xml:space="preserve">Form </w:t>
    </w:r>
    <w:r w:rsidR="004903F8">
      <w:rPr>
        <w:b/>
        <w:bCs/>
      </w:rPr>
      <w:t>1</w:t>
    </w:r>
    <w:r w:rsidR="00307A61">
      <w:rPr>
        <w:b/>
        <w:bCs/>
      </w:rPr>
      <w:t>36.8.</w:t>
    </w:r>
    <w:r w:rsidR="004903F8">
      <w:rPr>
        <w:b/>
        <w:bCs/>
      </w:rPr>
      <w:t>6</w:t>
    </w:r>
  </w:p>
  <w:p w:rsidR="00307A61" w:rsidRDefault="00307A61">
    <w:pPr>
      <w:pStyle w:val="Footer"/>
      <w:rPr>
        <w:b/>
        <w:bCs/>
      </w:rPr>
    </w:pPr>
    <w:r>
      <w:rPr>
        <w:b/>
        <w:bCs/>
      </w:rPr>
      <w:t>Assumptions and Limiting Conditions</w:t>
    </w:r>
    <w:r>
      <w:rPr>
        <w:b/>
        <w:bCs/>
      </w:rPr>
      <w:tab/>
    </w:r>
    <w:r>
      <w:rPr>
        <w:b/>
        <w:bCs/>
      </w:rPr>
      <w:tab/>
      <w:t>06/08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B55" w:rsidRDefault="00172B55" w:rsidP="00307A61">
      <w:r>
        <w:separator/>
      </w:r>
    </w:p>
  </w:footnote>
  <w:footnote w:type="continuationSeparator" w:id="0">
    <w:p w:rsidR="00172B55" w:rsidRDefault="00172B55" w:rsidP="00307A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A61" w:rsidRDefault="00307A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r>
      <w:rPr>
        <w:b/>
        <w:color w:val="000000"/>
      </w:rPr>
      <w:t>ASSUMPTIONS AND LIMITING CONDITIONS</w:t>
    </w:r>
  </w:p>
  <w:p w:rsidR="00307A61" w:rsidRDefault="00307A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trackRevisions/>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74E24"/>
    <w:rsid w:val="00053B3A"/>
    <w:rsid w:val="00172B55"/>
    <w:rsid w:val="00307A61"/>
    <w:rsid w:val="004903F8"/>
    <w:rsid w:val="00874E24"/>
    <w:rsid w:val="00BC2997"/>
    <w:rsid w:val="00DE1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Pr>
      <w:sz w:val="16"/>
      <w:szCs w:val="16"/>
    </w:rPr>
  </w:style>
  <w:style w:type="paragraph" w:styleId="CommentText">
    <w:name w:val="annotation text"/>
    <w:basedOn w:val="Normal"/>
    <w:semiHidden/>
    <w:pPr>
      <w:overflowPunct w:val="0"/>
      <w:autoSpaceDE w:val="0"/>
      <w:autoSpaceDN w:val="0"/>
      <w:adjustRightInd w:val="0"/>
      <w:textAlignment w:val="baseline"/>
    </w:pPr>
    <w:rPr>
      <w:sz w:val="20"/>
      <w:szCs w:val="2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18"/>
    </w:rPr>
  </w:style>
  <w:style w:type="paragraph" w:styleId="BalloonText">
    <w:name w:val="Balloon Text"/>
    <w:basedOn w:val="Normal"/>
    <w:link w:val="BalloonTextChar"/>
    <w:uiPriority w:val="99"/>
    <w:semiHidden/>
    <w:unhideWhenUsed/>
    <w:rsid w:val="004903F8"/>
    <w:rPr>
      <w:rFonts w:ascii="Tahoma" w:hAnsi="Tahoma" w:cs="Tahoma"/>
      <w:sz w:val="16"/>
      <w:szCs w:val="16"/>
    </w:rPr>
  </w:style>
  <w:style w:type="character" w:customStyle="1" w:styleId="BalloonTextChar">
    <w:name w:val="Balloon Text Char"/>
    <w:basedOn w:val="DefaultParagraphFont"/>
    <w:link w:val="BalloonText"/>
    <w:uiPriority w:val="99"/>
    <w:semiHidden/>
    <w:rsid w:val="004903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EBC976CAED0D47B68B814360BB25E1" ma:contentTypeVersion="1" ma:contentTypeDescription="Create a new document." ma:contentTypeScope="" ma:versionID="4242e427ff4806cff35bb5f6e637b5f0">
  <xsd:schema xmlns:xsd="http://www.w3.org/2001/XMLSchema" xmlns:xs="http://www.w3.org/2001/XMLSchema" xmlns:p="http://schemas.microsoft.com/office/2006/metadata/properties" xmlns:ns2="f74bb9dd-bc32-4568-859c-2052de4b68d1" targetNamespace="http://schemas.microsoft.com/office/2006/metadata/properties" ma:root="true" ma:fieldsID="1619461e913cbb4dca71e638451ae2b1" ns2:_="">
    <xsd:import namespace="f74bb9dd-bc32-4568-859c-2052de4b68d1"/>
    <xsd:element name="properties">
      <xsd:complexType>
        <xsd:sequence>
          <xsd:element name="documentManagement">
            <xsd:complexType>
              <xsd:all>
                <xsd:element ref="ns2: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bb9dd-bc32-4568-859c-2052de4b68d1" elementFormDefault="qualified">
    <xsd:import namespace="http://schemas.microsoft.com/office/2006/documentManagement/types"/>
    <xsd:import namespace="http://schemas.microsoft.com/office/infopath/2007/PartnerControls"/>
    <xsd:element name="EPMLiveListConfig" ma:index="8"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PMLiveListConfig xmlns="f74bb9dd-bc32-4568-859c-2052de4b68d1" xsi:nil="true"/>
  </documentManagement>
</p:properties>
</file>

<file path=customXml/itemProps1.xml><?xml version="1.0" encoding="utf-8"?>
<ds:datastoreItem xmlns:ds="http://schemas.openxmlformats.org/officeDocument/2006/customXml" ds:itemID="{C76DFE65-194A-4BE4-A0F8-3E8D9E1B3444}">
  <ds:schemaRefs>
    <ds:schemaRef ds:uri="http://schemas.microsoft.com/sharepoint/v3/contenttype/forms"/>
  </ds:schemaRefs>
</ds:datastoreItem>
</file>

<file path=customXml/itemProps2.xml><?xml version="1.0" encoding="utf-8"?>
<ds:datastoreItem xmlns:ds="http://schemas.openxmlformats.org/officeDocument/2006/customXml" ds:itemID="{0E4247DE-A2FF-4593-8D4F-F45890D66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bb9dd-bc32-4568-859c-2052de4b6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2139E0-E8E7-4D66-8DEF-AB89DC24EABF}">
  <ds:schemaRefs>
    <ds:schemaRef ds:uri="http://schemas.openxmlformats.org/package/2006/metadata/core-properties"/>
    <ds:schemaRef ds:uri="http://purl.org/dc/elements/1.1/"/>
    <ds:schemaRef ds:uri="http://schemas.microsoft.com/office/2006/metadata/properties"/>
    <ds:schemaRef ds:uri="f74bb9dd-bc32-4568-859c-2052de4b68d1"/>
    <ds:schemaRef ds:uri="http://www.w3.org/XML/1998/namespace"/>
    <ds:schemaRef ds:uri="http://schemas.microsoft.com/office/2006/documentManagement/types"/>
    <ds:schemaRef ds:uri="http://purl.org/dc/terms/"/>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5CAABE6B.dotm</Template>
  <TotalTime>2</TotalTime>
  <Pages>1</Pages>
  <Words>808</Words>
  <Characters>4608</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This report has been prepared in conformity with the Uniform Standards of Professional Appraisal Practice, in the appraisal of</vt:lpstr>
    </vt:vector>
  </TitlesOfParts>
  <Company>MoDOT</Company>
  <LinksUpToDate>false</LinksUpToDate>
  <CharactersWithSpaces>5406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report has been prepared in conformity with the Uniform Standards of Professional Appraisal Practice, in the appraisal of</dc:title>
  <dc:creator>martij3</dc:creator>
  <cp:lastModifiedBy>Linda Conner</cp:lastModifiedBy>
  <cp:revision>2</cp:revision>
  <cp:lastPrinted>2008-02-29T21:42:00Z</cp:lastPrinted>
  <dcterms:created xsi:type="dcterms:W3CDTF">2015-03-25T11:36:00Z</dcterms:created>
  <dcterms:modified xsi:type="dcterms:W3CDTF">2015-03-25T11:36:00Z</dcterms:modified>
</cp:coreProperties>
</file>