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903C" w14:textId="2F06FC91" w:rsidR="00095E3F" w:rsidRPr="00095E3F" w:rsidRDefault="003A51AD" w:rsidP="00095E3F">
      <w:pPr>
        <w:pStyle w:val="Title"/>
      </w:pPr>
      <w:r>
        <w:t>UTILITY FIELD INSPECTION CHECKLIST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095E3F" w:rsidRPr="00382B8E" w14:paraId="0AE00917" w14:textId="77777777" w:rsidTr="00095E3F">
        <w:trPr>
          <w:cantSplit/>
          <w:jc w:val="center"/>
        </w:trPr>
        <w:tc>
          <w:tcPr>
            <w:tcW w:w="92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3ED8A50" w14:textId="464C097D" w:rsidR="00095E3F" w:rsidRPr="00095E3F" w:rsidRDefault="00DA1206" w:rsidP="00095E3F">
            <w:bookmarkStart w:id="0" w:name="_Hlk169270868"/>
            <w:r w:rsidRPr="00382B8E">
              <w:rPr>
                <w:rFonts w:eastAsia="Times New Roman"/>
              </w:rPr>
              <w:t>INSTRUCTIONS</w:t>
            </w:r>
            <w:r>
              <w:rPr>
                <w:rFonts w:eastAsia="Times New Roman"/>
              </w:rPr>
              <w:t>:</w:t>
            </w:r>
            <w:r w:rsidRPr="00382B8E">
              <w:t xml:space="preserve"> This checklist is intended to assist district utility staff responsible for field inspection of utility adjustments to allow for highway construction</w:t>
            </w:r>
            <w:proofErr w:type="gramStart"/>
            <w:r w:rsidRPr="00382B8E">
              <w:t xml:space="preserve">. </w:t>
            </w:r>
            <w:proofErr w:type="gramEnd"/>
            <w:r w:rsidRPr="00382B8E">
              <w:t>The list may not be all encompassing.</w:t>
            </w:r>
          </w:p>
        </w:tc>
      </w:tr>
      <w:bookmarkEnd w:id="0"/>
    </w:tbl>
    <w:p w14:paraId="4FC96BA8" w14:textId="77777777" w:rsidR="00095E3F" w:rsidRPr="00536A8A" w:rsidRDefault="00095E3F" w:rsidP="00095E3F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8360"/>
      </w:tblGrid>
      <w:tr w:rsidR="00536A8A" w14:paraId="5CCFC20B" w14:textId="77777777" w:rsidTr="00536A8A">
        <w:tc>
          <w:tcPr>
            <w:tcW w:w="990" w:type="dxa"/>
          </w:tcPr>
          <w:p w14:paraId="1980410F" w14:textId="55929900" w:rsidR="00536A8A" w:rsidRDefault="00536A8A" w:rsidP="00536A8A">
            <w:pPr>
              <w:jc w:val="right"/>
            </w:pPr>
            <w:r>
              <w:t>Route:</w:t>
            </w:r>
          </w:p>
        </w:tc>
        <w:tc>
          <w:tcPr>
            <w:tcW w:w="8360" w:type="dxa"/>
            <w:tcBorders>
              <w:bottom w:val="single" w:sz="4" w:space="0" w:color="auto"/>
            </w:tcBorders>
          </w:tcPr>
          <w:p w14:paraId="684C93D2" w14:textId="77777777" w:rsidR="00536A8A" w:rsidRDefault="00536A8A" w:rsidP="00095E3F"/>
        </w:tc>
      </w:tr>
      <w:tr w:rsidR="00536A8A" w14:paraId="1989E960" w14:textId="77777777" w:rsidTr="00536A8A">
        <w:tc>
          <w:tcPr>
            <w:tcW w:w="990" w:type="dxa"/>
          </w:tcPr>
          <w:p w14:paraId="29540946" w14:textId="10895646" w:rsidR="00536A8A" w:rsidRDefault="00536A8A" w:rsidP="00536A8A">
            <w:pPr>
              <w:jc w:val="right"/>
            </w:pPr>
            <w:r>
              <w:t>County:</w:t>
            </w:r>
          </w:p>
        </w:tc>
        <w:tc>
          <w:tcPr>
            <w:tcW w:w="8360" w:type="dxa"/>
            <w:tcBorders>
              <w:top w:val="single" w:sz="4" w:space="0" w:color="auto"/>
              <w:bottom w:val="single" w:sz="4" w:space="0" w:color="auto"/>
            </w:tcBorders>
          </w:tcPr>
          <w:p w14:paraId="17F47DC7" w14:textId="77777777" w:rsidR="00536A8A" w:rsidRDefault="00536A8A" w:rsidP="00095E3F"/>
        </w:tc>
      </w:tr>
      <w:tr w:rsidR="00536A8A" w14:paraId="33513EDA" w14:textId="77777777" w:rsidTr="00536A8A">
        <w:tc>
          <w:tcPr>
            <w:tcW w:w="990" w:type="dxa"/>
          </w:tcPr>
          <w:p w14:paraId="5ACAD68C" w14:textId="551191DD" w:rsidR="00536A8A" w:rsidRDefault="00536A8A" w:rsidP="00536A8A">
            <w:pPr>
              <w:jc w:val="right"/>
            </w:pPr>
            <w:r>
              <w:t>Job No.:</w:t>
            </w:r>
          </w:p>
        </w:tc>
        <w:tc>
          <w:tcPr>
            <w:tcW w:w="8360" w:type="dxa"/>
            <w:tcBorders>
              <w:top w:val="single" w:sz="4" w:space="0" w:color="auto"/>
              <w:bottom w:val="single" w:sz="4" w:space="0" w:color="auto"/>
            </w:tcBorders>
          </w:tcPr>
          <w:p w14:paraId="3295AE6C" w14:textId="77777777" w:rsidR="00536A8A" w:rsidRDefault="00536A8A" w:rsidP="00095E3F"/>
        </w:tc>
      </w:tr>
    </w:tbl>
    <w:p w14:paraId="670EE6A8" w14:textId="77777777" w:rsidR="00536A8A" w:rsidRPr="00536A8A" w:rsidRDefault="00536A8A" w:rsidP="00095E3F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hecklist for review utility owner's consultant contracts"/>
        <w:tblDescription w:val="A series of points to evaluate on a yes/no basis to document whether a utility owner's consultant contract conforms with MoDOT policy and complies with applicable federal regulations along with a blank column for the reviewer to indicate yes/no."/>
      </w:tblPr>
      <w:tblGrid>
        <w:gridCol w:w="8280"/>
        <w:gridCol w:w="1080"/>
      </w:tblGrid>
      <w:tr w:rsidR="00095E3F" w:rsidRPr="00382B8E" w14:paraId="6E692BFD" w14:textId="77777777" w:rsidTr="00A90654">
        <w:tc>
          <w:tcPr>
            <w:tcW w:w="8280" w:type="dxa"/>
          </w:tcPr>
          <w:p w14:paraId="7D33DDA0" w14:textId="0AC48621" w:rsidR="00095E3F" w:rsidRPr="00095E3F" w:rsidRDefault="00C978B3" w:rsidP="00095E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ITEMS FOR INSPECTION ON </w:t>
            </w:r>
            <w:r w:rsidR="009D56BC">
              <w:rPr>
                <w:b/>
                <w:bCs/>
              </w:rPr>
              <w:t>UTILITY ADJUSTMENTS</w:t>
            </w:r>
          </w:p>
        </w:tc>
        <w:tc>
          <w:tcPr>
            <w:tcW w:w="1080" w:type="dxa"/>
          </w:tcPr>
          <w:p w14:paraId="49CA3BE9" w14:textId="01D09EF6" w:rsidR="00095E3F" w:rsidRPr="00095E3F" w:rsidRDefault="00095E3F" w:rsidP="00095E3F">
            <w:pPr>
              <w:rPr>
                <w:b/>
                <w:bCs/>
              </w:rPr>
            </w:pPr>
          </w:p>
        </w:tc>
      </w:tr>
      <w:tr w:rsidR="005D6163" w:rsidRPr="00382B8E" w14:paraId="23DE887D" w14:textId="77777777" w:rsidTr="00A90654">
        <w:tc>
          <w:tcPr>
            <w:tcW w:w="8280" w:type="dxa"/>
          </w:tcPr>
          <w:p w14:paraId="53C97AA7" w14:textId="72259B26" w:rsidR="005D6163" w:rsidRPr="00382B8E" w:rsidRDefault="005D6163" w:rsidP="005D6163">
            <w:pPr>
              <w:pStyle w:val="ListParagraph"/>
              <w:rPr>
                <w:u w:val="single"/>
              </w:rPr>
            </w:pPr>
            <w:r w:rsidRPr="00382B8E">
              <w:t>Read the agreement</w:t>
            </w:r>
            <w:proofErr w:type="gramStart"/>
            <w:r w:rsidRPr="00382B8E">
              <w:t xml:space="preserve">. </w:t>
            </w:r>
            <w:proofErr w:type="gramEnd"/>
            <w:r w:rsidRPr="00382B8E">
              <w:t>Study the estimate, plan, and schedule</w:t>
            </w:r>
            <w:proofErr w:type="gramStart"/>
            <w:r w:rsidRPr="00382B8E">
              <w:t xml:space="preserve">. </w:t>
            </w:r>
            <w:proofErr w:type="gramEnd"/>
            <w:r w:rsidRPr="00382B8E">
              <w:t>Become completely familiar with the work involved in the adjustment.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3732850" w14:textId="77777777" w:rsidR="005D6163" w:rsidRPr="00382B8E" w:rsidRDefault="005D6163" w:rsidP="005D6163"/>
        </w:tc>
      </w:tr>
      <w:tr w:rsidR="005D6163" w:rsidRPr="00382B8E" w14:paraId="530D426D" w14:textId="77777777" w:rsidTr="00A90654">
        <w:tc>
          <w:tcPr>
            <w:tcW w:w="8280" w:type="dxa"/>
          </w:tcPr>
          <w:p w14:paraId="2B26EDF7" w14:textId="3C2B9EA7" w:rsidR="005D6163" w:rsidRPr="00382B8E" w:rsidRDefault="005D6163" w:rsidP="005D6163">
            <w:pPr>
              <w:pStyle w:val="ListParagraph"/>
              <w:rPr>
                <w:u w:val="single"/>
              </w:rPr>
            </w:pPr>
            <w:r w:rsidRPr="00382B8E">
              <w:t>Check whether Notice to Proceed (NTP) has been given.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F83EC4F" w14:textId="77777777" w:rsidR="005D6163" w:rsidRPr="00382B8E" w:rsidRDefault="005D6163" w:rsidP="005D6163"/>
        </w:tc>
      </w:tr>
      <w:tr w:rsidR="005D6163" w:rsidRPr="00382B8E" w14:paraId="22721858" w14:textId="77777777" w:rsidTr="006501DB">
        <w:tc>
          <w:tcPr>
            <w:tcW w:w="8280" w:type="dxa"/>
          </w:tcPr>
          <w:p w14:paraId="3EBA447C" w14:textId="67840360" w:rsidR="005D6163" w:rsidRPr="00382B8E" w:rsidRDefault="005D6163" w:rsidP="005D6163">
            <w:pPr>
              <w:pStyle w:val="ListParagraph"/>
              <w:rPr>
                <w:u w:val="single"/>
              </w:rPr>
            </w:pPr>
            <w:r>
              <w:t>Check to ensure necessary permits have been obtained.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AE230AD" w14:textId="77777777" w:rsidR="005D6163" w:rsidRPr="00382B8E" w:rsidRDefault="005D6163" w:rsidP="005D6163"/>
        </w:tc>
      </w:tr>
      <w:tr w:rsidR="005D6163" w:rsidRPr="00382B8E" w14:paraId="5876EAEB" w14:textId="77777777" w:rsidTr="006501DB">
        <w:tc>
          <w:tcPr>
            <w:tcW w:w="8280" w:type="dxa"/>
          </w:tcPr>
          <w:p w14:paraId="0E1CA3FD" w14:textId="7C58FC8A" w:rsidR="005D6163" w:rsidRPr="00382B8E" w:rsidRDefault="005D6163" w:rsidP="005D6163">
            <w:pPr>
              <w:pStyle w:val="ListParagraph"/>
            </w:pPr>
            <w:r w:rsidRPr="00382B8E">
              <w:t>Check proposed underground utilities to avoid conflict of elevations with highway installations and check to be sure the utilities are installed at the correct elevation.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BCBE757" w14:textId="77777777" w:rsidR="005D6163" w:rsidRPr="00382B8E" w:rsidRDefault="005D6163" w:rsidP="005D6163"/>
        </w:tc>
      </w:tr>
      <w:tr w:rsidR="005D6163" w:rsidRPr="00382B8E" w14:paraId="354BCAC5" w14:textId="77777777" w:rsidTr="006501DB">
        <w:tc>
          <w:tcPr>
            <w:tcW w:w="8280" w:type="dxa"/>
          </w:tcPr>
          <w:p w14:paraId="651F0C04" w14:textId="6326786E" w:rsidR="005D6163" w:rsidRPr="00382B8E" w:rsidRDefault="005D6163" w:rsidP="005D6163">
            <w:pPr>
              <w:pStyle w:val="ListParagraph"/>
              <w:rPr>
                <w:u w:val="single"/>
              </w:rPr>
            </w:pPr>
            <w:r w:rsidRPr="00382B8E">
              <w:t>Check vertical clearance of overhead utility installations</w:t>
            </w:r>
            <w:proofErr w:type="gramStart"/>
            <w:r w:rsidRPr="00382B8E">
              <w:t xml:space="preserve">. </w:t>
            </w:r>
            <w:proofErr w:type="gramEnd"/>
            <w:r w:rsidRPr="00382B8E">
              <w:t xml:space="preserve">For utilities crossing over travelways, the minimum vertical clearance shall be not less than required by the </w:t>
            </w:r>
            <w:hyperlink r:id="rId7">
              <w:r w:rsidRPr="00382B8E">
                <w:rPr>
                  <w:highlight w:val="cyan"/>
                </w:rPr>
                <w:t>National Electric Safety Code</w:t>
              </w:r>
            </w:hyperlink>
            <w:r w:rsidRPr="00382B8E">
              <w:t xml:space="preserve"> and in no case less than 18 feet as required by </w:t>
            </w:r>
            <w:hyperlink r:id="rId8">
              <w:r w:rsidRPr="00382B8E">
                <w:rPr>
                  <w:highlight w:val="cyan"/>
                </w:rPr>
                <w:t>Commission Policy</w:t>
              </w:r>
            </w:hyperlink>
            <w:r w:rsidRPr="00382B8E">
              <w:t>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31CDCB4" w14:textId="77777777" w:rsidR="005D6163" w:rsidRPr="00382B8E" w:rsidRDefault="005D6163" w:rsidP="005D6163"/>
        </w:tc>
      </w:tr>
      <w:tr w:rsidR="005D6163" w:rsidRPr="00382B8E" w14:paraId="59DDB8DE" w14:textId="77777777" w:rsidTr="006501DB">
        <w:tc>
          <w:tcPr>
            <w:tcW w:w="8280" w:type="dxa"/>
          </w:tcPr>
          <w:p w14:paraId="37AEB844" w14:textId="5A9733CE" w:rsidR="005D6163" w:rsidRPr="00382B8E" w:rsidRDefault="005D6163" w:rsidP="005D6163">
            <w:pPr>
              <w:pStyle w:val="ListParagraph"/>
              <w:rPr>
                <w:u w:val="single"/>
              </w:rPr>
            </w:pPr>
            <w:r>
              <w:t>Check to ensure minimum horizontal clearances are obtained between utility facilities and highways or railroads.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4DFD43B" w14:textId="77777777" w:rsidR="005D6163" w:rsidRPr="00382B8E" w:rsidRDefault="005D6163" w:rsidP="005D6163"/>
        </w:tc>
      </w:tr>
      <w:tr w:rsidR="005D6163" w:rsidRPr="00382B8E" w14:paraId="1C217FB4" w14:textId="77777777" w:rsidTr="006501DB">
        <w:tc>
          <w:tcPr>
            <w:tcW w:w="8280" w:type="dxa"/>
          </w:tcPr>
          <w:p w14:paraId="2A0A09E5" w14:textId="481DC5D8" w:rsidR="005D6163" w:rsidRPr="00382B8E" w:rsidRDefault="005D6163" w:rsidP="005D6163">
            <w:pPr>
              <w:pStyle w:val="ListParagraph"/>
            </w:pPr>
            <w:r>
              <w:t>Check the placement of poles, towers, and similar above ground facilities to ensure that established policies are observed.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E2A6996" w14:textId="77777777" w:rsidR="005D6163" w:rsidRPr="00382B8E" w:rsidRDefault="005D6163" w:rsidP="005D6163"/>
        </w:tc>
      </w:tr>
      <w:tr w:rsidR="005D6163" w:rsidRPr="00382B8E" w14:paraId="1F04A37F" w14:textId="77777777" w:rsidTr="006501DB">
        <w:tc>
          <w:tcPr>
            <w:tcW w:w="8280" w:type="dxa"/>
          </w:tcPr>
          <w:p w14:paraId="4C2CD88F" w14:textId="45A6AD5F" w:rsidR="005D6163" w:rsidRPr="00382B8E" w:rsidRDefault="005D6163" w:rsidP="005D6163">
            <w:pPr>
              <w:pStyle w:val="ListParagraph"/>
            </w:pPr>
            <w:r>
              <w:t>Check the encasement of underground lines such as water lines and petroleum product lines is in accordance with the plans.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F7CBA51" w14:textId="77777777" w:rsidR="005D6163" w:rsidRPr="00382B8E" w:rsidRDefault="005D6163" w:rsidP="005D6163"/>
        </w:tc>
      </w:tr>
      <w:tr w:rsidR="005D6163" w:rsidRPr="00382B8E" w14:paraId="2F002891" w14:textId="77777777" w:rsidTr="006501DB">
        <w:tc>
          <w:tcPr>
            <w:tcW w:w="8280" w:type="dxa"/>
          </w:tcPr>
          <w:p w14:paraId="10011289" w14:textId="49BAE225" w:rsidR="005D6163" w:rsidRPr="00382B8E" w:rsidRDefault="005D6163" w:rsidP="005D6163">
            <w:pPr>
              <w:pStyle w:val="ListParagraph"/>
            </w:pPr>
            <w:r>
              <w:t>Ensure manhole grades are accurately correlated with proposed highway construction.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30CB9E" w14:textId="77777777" w:rsidR="005D6163" w:rsidRPr="00382B8E" w:rsidRDefault="005D6163" w:rsidP="005D6163"/>
        </w:tc>
      </w:tr>
      <w:tr w:rsidR="005D6163" w:rsidRPr="00382B8E" w14:paraId="1E493280" w14:textId="77777777" w:rsidTr="006501DB">
        <w:tc>
          <w:tcPr>
            <w:tcW w:w="8280" w:type="dxa"/>
          </w:tcPr>
          <w:p w14:paraId="3421170C" w14:textId="243D5725" w:rsidR="005D6163" w:rsidRPr="00382B8E" w:rsidRDefault="005D6163" w:rsidP="005D6163">
            <w:pPr>
              <w:pStyle w:val="ListParagraph"/>
            </w:pPr>
            <w:r>
              <w:t>Require all utility excavation areas that might have a critical influence upon highway construction to be backfilled in accordance with requirements established by the agreement.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47DEF10" w14:textId="77777777" w:rsidR="005D6163" w:rsidRPr="00382B8E" w:rsidRDefault="005D6163" w:rsidP="005D6163"/>
        </w:tc>
      </w:tr>
      <w:tr w:rsidR="005D6163" w:rsidRPr="00382B8E" w14:paraId="31833730" w14:textId="77777777" w:rsidTr="006501DB">
        <w:tc>
          <w:tcPr>
            <w:tcW w:w="8280" w:type="dxa"/>
          </w:tcPr>
          <w:p w14:paraId="79230B60" w14:textId="4D7711E3" w:rsidR="005D6163" w:rsidRPr="00382B8E" w:rsidRDefault="005D6163" w:rsidP="005D6163">
            <w:pPr>
              <w:pStyle w:val="ListParagraph"/>
            </w:pPr>
            <w:r>
              <w:t>Check that proper documentation of disposal is provided by the utility owner or utility owner’s contractor.</w:t>
            </w:r>
          </w:p>
        </w:tc>
        <w:tc>
          <w:tcPr>
            <w:tcW w:w="1080" w:type="dxa"/>
          </w:tcPr>
          <w:p w14:paraId="50784887" w14:textId="77777777" w:rsidR="005D6163" w:rsidRPr="00382B8E" w:rsidRDefault="005D6163" w:rsidP="005D6163"/>
        </w:tc>
      </w:tr>
      <w:tr w:rsidR="005D6163" w:rsidRPr="00382B8E" w14:paraId="20EC2C9B" w14:textId="77777777" w:rsidTr="00A90654">
        <w:tc>
          <w:tcPr>
            <w:tcW w:w="8280" w:type="dxa"/>
          </w:tcPr>
          <w:p w14:paraId="11E9059B" w14:textId="587B8840" w:rsidR="005D6163" w:rsidRPr="00382B8E" w:rsidRDefault="005D6163" w:rsidP="005D6163">
            <w:pPr>
              <w:pStyle w:val="ListParagraph"/>
            </w:pPr>
            <w:r>
              <w:t>Record the location of the adjusted facilities on the final plans.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388C4A1" w14:textId="77777777" w:rsidR="005D6163" w:rsidRPr="00382B8E" w:rsidRDefault="005D6163" w:rsidP="005D6163"/>
        </w:tc>
      </w:tr>
      <w:tr w:rsidR="005D6163" w:rsidRPr="00382B8E" w14:paraId="525C8E94" w14:textId="77777777" w:rsidTr="00A90654">
        <w:tc>
          <w:tcPr>
            <w:tcW w:w="8280" w:type="dxa"/>
          </w:tcPr>
          <w:p w14:paraId="1F78012A" w14:textId="6B6E9882" w:rsidR="005D6163" w:rsidRPr="00382B8E" w:rsidRDefault="005D6163" w:rsidP="005D6163">
            <w:pPr>
              <w:pStyle w:val="ListParagraph"/>
            </w:pPr>
            <w:r>
              <w:t xml:space="preserve">Maintain all records of the adjustment as noted in </w:t>
            </w:r>
            <w:r w:rsidRPr="001C1F38">
              <w:rPr>
                <w:highlight w:val="cyan"/>
              </w:rPr>
              <w:t>EPG 643.X.X Documentation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9D16D57" w14:textId="77777777" w:rsidR="005D6163" w:rsidRPr="00382B8E" w:rsidRDefault="005D6163" w:rsidP="005D6163"/>
        </w:tc>
      </w:tr>
      <w:tr w:rsidR="009D56BC" w:rsidRPr="00382B8E" w14:paraId="7C4E204A" w14:textId="77777777" w:rsidTr="00A90654">
        <w:tc>
          <w:tcPr>
            <w:tcW w:w="8280" w:type="dxa"/>
          </w:tcPr>
          <w:p w14:paraId="49C9E73A" w14:textId="2B28FE64" w:rsidR="009D56BC" w:rsidRDefault="009D56BC" w:rsidP="009D56BC">
            <w:r>
              <w:rPr>
                <w:b/>
                <w:bCs/>
              </w:rPr>
              <w:t>ITEMS FOR INSPECTION OF REIMBURSABLE UTILITY ADJUSTMENTS ONLY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1B8742F" w14:textId="3B6EFD83" w:rsidR="009D56BC" w:rsidRPr="00382B8E" w:rsidRDefault="009D56BC" w:rsidP="009D56BC"/>
        </w:tc>
      </w:tr>
      <w:tr w:rsidR="00922315" w:rsidRPr="00382B8E" w14:paraId="71F1CFA5" w14:textId="77777777" w:rsidTr="00A90654">
        <w:tc>
          <w:tcPr>
            <w:tcW w:w="8280" w:type="dxa"/>
          </w:tcPr>
          <w:p w14:paraId="6B0F29D4" w14:textId="13CC31A8" w:rsidR="00922315" w:rsidRPr="0003571E" w:rsidRDefault="00922315" w:rsidP="00922315">
            <w:pPr>
              <w:pStyle w:val="ListParagraph"/>
              <w:numPr>
                <w:ilvl w:val="0"/>
                <w:numId w:val="6"/>
              </w:numPr>
              <w:ind w:left="342"/>
            </w:pPr>
            <w:r w:rsidRPr="00382B8E">
              <w:t xml:space="preserve">Begin recording Daily Utility Reports (C-9s) as soon as the utility owner or utility owner’s contractor begins the </w:t>
            </w:r>
            <w:proofErr w:type="gramStart"/>
            <w:r w:rsidRPr="00382B8E">
              <w:t>adjustment, and</w:t>
            </w:r>
            <w:proofErr w:type="gramEnd"/>
            <w:r w:rsidRPr="00382B8E">
              <w:t xml:space="preserve"> do so every day work is being done or weekly if no work is being done.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FC48A13" w14:textId="77777777" w:rsidR="00922315" w:rsidRPr="0003571E" w:rsidRDefault="00922315" w:rsidP="00922315"/>
        </w:tc>
      </w:tr>
      <w:tr w:rsidR="00922315" w:rsidRPr="00382B8E" w14:paraId="15120B6A" w14:textId="77777777" w:rsidTr="0000517C">
        <w:tc>
          <w:tcPr>
            <w:tcW w:w="8280" w:type="dxa"/>
          </w:tcPr>
          <w:p w14:paraId="5E754543" w14:textId="1B99B201" w:rsidR="00922315" w:rsidRPr="0003571E" w:rsidRDefault="00922315" w:rsidP="00922315">
            <w:pPr>
              <w:pStyle w:val="ListParagraph"/>
            </w:pPr>
            <w:r w:rsidRPr="00382B8E">
              <w:t>Check whether the utility owner is doing work with its own forces or by</w:t>
            </w:r>
            <w:r>
              <w:t xml:space="preserve"> a</w:t>
            </w:r>
            <w:r w:rsidRPr="00382B8E">
              <w:t xml:space="preserve"> contract having MoDOT approval as defined in the agreement.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3EF0EA7" w14:textId="77777777" w:rsidR="00922315" w:rsidRPr="0003571E" w:rsidRDefault="00922315" w:rsidP="00922315"/>
        </w:tc>
      </w:tr>
      <w:tr w:rsidR="00922315" w:rsidRPr="00382B8E" w14:paraId="05D38E42" w14:textId="77777777" w:rsidTr="0000517C">
        <w:tc>
          <w:tcPr>
            <w:tcW w:w="8280" w:type="dxa"/>
          </w:tcPr>
          <w:p w14:paraId="256E04B7" w14:textId="724E9E23" w:rsidR="00922315" w:rsidRPr="0003571E" w:rsidRDefault="00922315" w:rsidP="00922315">
            <w:pPr>
              <w:pStyle w:val="ListParagraph"/>
            </w:pPr>
            <w:r>
              <w:t>Observe and record the condition of retired materials to assure that proper salvage value is identified</w:t>
            </w:r>
            <w:proofErr w:type="gramStart"/>
            <w:r>
              <w:t xml:space="preserve">. </w:t>
            </w:r>
            <w:proofErr w:type="gramEnd"/>
            <w:r>
              <w:t>The utility owner must inform the district utilities staff of the time and place the material will be available for inspection</w:t>
            </w:r>
            <w:proofErr w:type="gramStart"/>
            <w:r>
              <w:t xml:space="preserve">. </w:t>
            </w:r>
            <w:proofErr w:type="gramEnd"/>
            <w:r>
              <w:t>Both the utility owner and MoDOT should examine the material together.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8B794C9" w14:textId="77777777" w:rsidR="00922315" w:rsidRPr="0003571E" w:rsidRDefault="00922315" w:rsidP="00922315"/>
        </w:tc>
      </w:tr>
    </w:tbl>
    <w:p w14:paraId="47D2E577" w14:textId="77777777" w:rsidR="00095E3F" w:rsidRPr="0000517C" w:rsidRDefault="00095E3F" w:rsidP="00536A8A">
      <w:pPr>
        <w:rPr>
          <w:sz w:val="12"/>
          <w:szCs w:val="12"/>
        </w:rPr>
      </w:pPr>
    </w:p>
    <w:sectPr w:rsidR="00095E3F" w:rsidRPr="0000517C" w:rsidSect="005227D7"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7310" w14:textId="77777777" w:rsidR="005227D7" w:rsidRDefault="005227D7" w:rsidP="005227D7">
      <w:r>
        <w:separator/>
      </w:r>
    </w:p>
  </w:endnote>
  <w:endnote w:type="continuationSeparator" w:id="0">
    <w:p w14:paraId="54501CEA" w14:textId="77777777" w:rsidR="005227D7" w:rsidRDefault="005227D7" w:rsidP="0052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CB5E" w14:textId="6684B25D" w:rsidR="005227D7" w:rsidRPr="00797125" w:rsidRDefault="005227D7" w:rsidP="00797125">
    <w:pPr>
      <w:pStyle w:val="Footer"/>
      <w:tabs>
        <w:tab w:val="clear" w:pos="4680"/>
        <w:tab w:val="clear" w:pos="9360"/>
      </w:tabs>
      <w:jc w:val="right"/>
      <w:rPr>
        <w:sz w:val="18"/>
        <w:szCs w:val="18"/>
      </w:rPr>
    </w:pPr>
    <w:r w:rsidRPr="00797125">
      <w:rPr>
        <w:sz w:val="18"/>
        <w:szCs w:val="18"/>
      </w:rPr>
      <w:t>Revised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A0BE1" w14:textId="77777777" w:rsidR="005227D7" w:rsidRDefault="005227D7" w:rsidP="005227D7">
      <w:r>
        <w:separator/>
      </w:r>
    </w:p>
  </w:footnote>
  <w:footnote w:type="continuationSeparator" w:id="0">
    <w:p w14:paraId="68534EE5" w14:textId="77777777" w:rsidR="005227D7" w:rsidRDefault="005227D7" w:rsidP="00522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E3954"/>
    <w:multiLevelType w:val="hybridMultilevel"/>
    <w:tmpl w:val="35CC21DE"/>
    <w:lvl w:ilvl="0" w:tplc="C37AAA3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F4D0D"/>
    <w:multiLevelType w:val="hybridMultilevel"/>
    <w:tmpl w:val="3B3E41BC"/>
    <w:lvl w:ilvl="0" w:tplc="46CEC990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8784619">
    <w:abstractNumId w:val="1"/>
  </w:num>
  <w:num w:numId="2" w16cid:durableId="222721391">
    <w:abstractNumId w:val="0"/>
  </w:num>
  <w:num w:numId="3" w16cid:durableId="106052228">
    <w:abstractNumId w:val="1"/>
    <w:lvlOverride w:ilvl="0">
      <w:startOverride w:val="1"/>
    </w:lvlOverride>
  </w:num>
  <w:num w:numId="4" w16cid:durableId="406073420">
    <w:abstractNumId w:val="1"/>
    <w:lvlOverride w:ilvl="0">
      <w:startOverride w:val="1"/>
    </w:lvlOverride>
  </w:num>
  <w:num w:numId="5" w16cid:durableId="1862476733">
    <w:abstractNumId w:val="1"/>
    <w:lvlOverride w:ilvl="0">
      <w:startOverride w:val="1"/>
    </w:lvlOverride>
  </w:num>
  <w:num w:numId="6" w16cid:durableId="20256703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3F"/>
    <w:rsid w:val="0000517C"/>
    <w:rsid w:val="0003571E"/>
    <w:rsid w:val="00095E3F"/>
    <w:rsid w:val="00291840"/>
    <w:rsid w:val="002D56CA"/>
    <w:rsid w:val="003A51AD"/>
    <w:rsid w:val="005227D7"/>
    <w:rsid w:val="00536A8A"/>
    <w:rsid w:val="005D6163"/>
    <w:rsid w:val="00797125"/>
    <w:rsid w:val="008678F0"/>
    <w:rsid w:val="00922315"/>
    <w:rsid w:val="0096107C"/>
    <w:rsid w:val="009D56BC"/>
    <w:rsid w:val="00A90654"/>
    <w:rsid w:val="00C978B3"/>
    <w:rsid w:val="00DA1206"/>
    <w:rsid w:val="00EC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DFAF7F"/>
  <w15:chartTrackingRefBased/>
  <w15:docId w15:val="{6D99E345-E493-436D-ACE1-0D126A4D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3F"/>
    <w:pPr>
      <w:spacing w:after="0" w:line="240" w:lineRule="auto"/>
    </w:pPr>
    <w:rPr>
      <w:rFonts w:cs="Arial"/>
      <w:color w:val="202122"/>
      <w:kern w:val="0"/>
      <w:sz w:val="22"/>
      <w:szCs w:val="22"/>
      <w:shd w:val="clear" w:color="auto" w:fill="FFFFFF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E3F"/>
    <w:pPr>
      <w:spacing w:after="80"/>
      <w:contextualSpacing/>
      <w:jc w:val="center"/>
    </w:pPr>
    <w:rPr>
      <w:rFonts w:ascii="Calibri" w:eastAsiaTheme="majorEastAsia" w:hAnsi="Calibri" w:cs="Calibri"/>
      <w:b/>
      <w:bCs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95E3F"/>
    <w:rPr>
      <w:rFonts w:ascii="Calibri" w:eastAsiaTheme="majorEastAsia" w:hAnsi="Calibri" w:cs="Calibri"/>
      <w:b/>
      <w:bCs/>
      <w:color w:val="202122"/>
      <w:spacing w:val="-10"/>
      <w:kern w:val="28"/>
      <w:sz w:val="32"/>
      <w:szCs w:val="3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E3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95E3F"/>
    <w:pPr>
      <w:numPr>
        <w:numId w:val="2"/>
      </w:numPr>
      <w:ind w:left="342"/>
      <w:contextualSpacing/>
    </w:pPr>
  </w:style>
  <w:style w:type="character" w:styleId="IntenseEmphasis">
    <w:name w:val="Intense Emphasis"/>
    <w:basedOn w:val="DefaultParagraphFont"/>
    <w:uiPriority w:val="21"/>
    <w:qFormat/>
    <w:rsid w:val="00095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E3F"/>
    <w:rPr>
      <w:b/>
      <w:bCs/>
      <w:smallCaps/>
      <w:color w:val="0F4761" w:themeColor="accent1" w:themeShade="BF"/>
      <w:spacing w:val="5"/>
    </w:rPr>
  </w:style>
  <w:style w:type="paragraph" w:customStyle="1" w:styleId="NumberList">
    <w:name w:val="NumberList"/>
    <w:basedOn w:val="ListParagraph"/>
    <w:link w:val="NumberListChar"/>
    <w:qFormat/>
    <w:rsid w:val="00095E3F"/>
    <w:pPr>
      <w:numPr>
        <w:numId w:val="1"/>
      </w:numPr>
      <w:spacing w:line="259" w:lineRule="auto"/>
      <w:ind w:left="720"/>
    </w:pPr>
    <w:rPr>
      <w:rFonts w:ascii="Arial" w:hAnsi="Arial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95E3F"/>
    <w:rPr>
      <w:rFonts w:cs="Arial"/>
      <w:color w:val="202122"/>
      <w:kern w:val="0"/>
      <w:sz w:val="22"/>
      <w:szCs w:val="22"/>
      <w14:ligatures w14:val="none"/>
    </w:rPr>
  </w:style>
  <w:style w:type="character" w:customStyle="1" w:styleId="NumberListChar">
    <w:name w:val="NumberList Char"/>
    <w:basedOn w:val="ListParagraphChar"/>
    <w:link w:val="NumberList"/>
    <w:rsid w:val="00095E3F"/>
    <w:rPr>
      <w:rFonts w:ascii="Arial" w:hAnsi="Arial" w:cs="Arial"/>
      <w:color w:val="202122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095E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E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E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2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7D7"/>
    <w:rPr>
      <w:rFonts w:cs="Arial"/>
      <w:color w:val="202122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2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7D7"/>
    <w:rPr>
      <w:rFonts w:cs="Arial"/>
      <w:color w:val="202122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g.modot.org/index.php/643.3_Policy,_Standards_and_Regulation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epg.modot.org/files/9/9f/643.3_National_Electric_Safety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Validation xmlns="ebba8e98-a519-4ab6-a8ca-519be7517eca">Published</Validation>
    <MainEPGLocation xmlns="ebba8e98-a519-4ab6-a8ca-519be7517eca">643.2.16.3</MainEPGLocation>
    <_ip_UnifiedCompliancePolicyProperties xmlns="http://schemas.microsoft.com/sharepoint/v3" xsi:nil="true"/>
    <EPGLocations xmlns="ebba8e98-a519-4ab6-a8ca-519be7517eca" xsi:nil="true"/>
  </documentManagement>
</p:properties>
</file>

<file path=customXml/itemProps1.xml><?xml version="1.0" encoding="utf-8"?>
<ds:datastoreItem xmlns:ds="http://schemas.openxmlformats.org/officeDocument/2006/customXml" ds:itemID="{4BB11531-D838-4843-912A-00693C970B4F}"/>
</file>

<file path=customXml/itemProps2.xml><?xml version="1.0" encoding="utf-8"?>
<ds:datastoreItem xmlns:ds="http://schemas.openxmlformats.org/officeDocument/2006/customXml" ds:itemID="{F1B9B393-3E92-45CE-8564-9ED7092D7498}"/>
</file>

<file path=customXml/itemProps3.xml><?xml version="1.0" encoding="utf-8"?>
<ds:datastoreItem xmlns:ds="http://schemas.openxmlformats.org/officeDocument/2006/customXml" ds:itemID="{FB5FD567-24E0-4087-889B-1DDE216875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430</Words>
  <Characters>2351</Characters>
  <Application>Microsoft Office Word</Application>
  <DocSecurity>0</DocSecurity>
  <Lines>73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Transportation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L. Becker</dc:creator>
  <cp:keywords/>
  <dc:description/>
  <cp:lastModifiedBy>Jennifer L. Becker</cp:lastModifiedBy>
  <cp:revision>15</cp:revision>
  <dcterms:created xsi:type="dcterms:W3CDTF">2026-05-09T19:53:00Z</dcterms:created>
  <dcterms:modified xsi:type="dcterms:W3CDTF">2026-05-09T21:43:00Z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0x010100451B182956520E4B8965D8E3C62DA431</vt:lpwstr>
  </property>
</Properties>
</file>